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75" w:rsidRDefault="007A7975" w:rsidP="007A7975">
      <w:pPr>
        <w:pStyle w:val="Heading1"/>
        <w:shd w:val="clear" w:color="auto" w:fill="FFFFFF"/>
        <w:spacing w:before="0" w:after="0"/>
        <w:rPr>
          <w:rFonts w:ascii="Trebuchet MS" w:hAnsi="Trebuchet MS"/>
          <w:b w:val="0"/>
          <w:bCs w:val="0"/>
          <w:color w:val="6191C5"/>
          <w:sz w:val="40"/>
          <w:szCs w:val="40"/>
        </w:rPr>
      </w:pPr>
      <w:r>
        <w:rPr>
          <w:rFonts w:ascii="Trebuchet MS" w:hAnsi="Trebuchet MS"/>
          <w:b w:val="0"/>
          <w:bCs w:val="0"/>
          <w:color w:val="6191C5"/>
          <w:sz w:val="40"/>
          <w:szCs w:val="40"/>
        </w:rPr>
        <w:t>The austerity question: ‘How’ is as important as ‘how much’</w:t>
      </w:r>
    </w:p>
    <w:p w:rsidR="00C14FEC" w:rsidRDefault="00C14FEC" w:rsidP="007A7975">
      <w:pPr>
        <w:pStyle w:val="Heading1"/>
        <w:shd w:val="clear" w:color="auto" w:fill="FFFFFF"/>
        <w:spacing w:before="0" w:after="0"/>
        <w:rPr>
          <w:rFonts w:ascii="Trebuchet MS" w:hAnsi="Trebuchet MS"/>
          <w:b w:val="0"/>
          <w:bCs w:val="0"/>
          <w:color w:val="6191C5"/>
          <w:sz w:val="40"/>
          <w:szCs w:val="40"/>
        </w:rPr>
      </w:pPr>
      <w:hyperlink r:id="rId5" w:history="1">
        <w:r>
          <w:rPr>
            <w:rStyle w:val="Hyperlink"/>
            <w:sz w:val="20"/>
            <w:szCs w:val="20"/>
          </w:rPr>
          <w:t>Alberto Alesina</w:t>
        </w:r>
      </w:hyperlink>
      <w:r>
        <w:rPr>
          <w:sz w:val="20"/>
          <w:szCs w:val="20"/>
        </w:rPr>
        <w:t xml:space="preserve"> </w:t>
      </w:r>
      <w:hyperlink r:id="rId6" w:history="1">
        <w:r>
          <w:rPr>
            <w:rStyle w:val="Hyperlink"/>
            <w:sz w:val="20"/>
            <w:szCs w:val="20"/>
          </w:rPr>
          <w:t>Francesco Giavazzi</w:t>
        </w:r>
      </w:hyperlink>
      <w:r>
        <w:rPr>
          <w:sz w:val="20"/>
          <w:szCs w:val="20"/>
        </w:rPr>
        <w:br/>
        <w:t>3 April 2012</w:t>
      </w:r>
    </w:p>
    <w:p w:rsidR="00C14FEC" w:rsidRDefault="00C14FEC" w:rsidP="00C14FEC">
      <w:pPr>
        <w:pStyle w:val="NormalWeb"/>
        <w:rPr>
          <w:rFonts w:ascii="Arial" w:hAnsi="Arial" w:cs="Arial"/>
          <w:i/>
          <w:iCs/>
          <w:sz w:val="20"/>
          <w:szCs w:val="20"/>
        </w:rPr>
      </w:pPr>
    </w:p>
    <w:p w:rsidR="00C14FEC" w:rsidRDefault="00C14FEC" w:rsidP="00C14FEC">
      <w:pPr>
        <w:pStyle w:val="NormalWeb"/>
        <w:rPr>
          <w:rFonts w:ascii="Arial" w:hAnsi="Arial" w:cs="Arial"/>
          <w:i/>
          <w:iCs/>
          <w:sz w:val="20"/>
          <w:szCs w:val="20"/>
        </w:rPr>
      </w:pPr>
      <w:r>
        <w:rPr>
          <w:rFonts w:ascii="Arial" w:hAnsi="Arial" w:cs="Arial"/>
          <w:i/>
          <w:iCs/>
          <w:sz w:val="20"/>
          <w:szCs w:val="20"/>
        </w:rPr>
        <w:t>Europe’s embrace of austerity has sparked a debate among economists. This column argues that the debate has gone astray. Until the critical principle – ‘how’ is as important as ‘how much’ – is embraced, the austerity debate in Europe will continue to be completely out of line with the real economic trade-offs.</w:t>
      </w:r>
    </w:p>
    <w:p w:rsidR="00C14FEC" w:rsidRDefault="00C14FEC" w:rsidP="00C14FEC">
      <w:pPr>
        <w:pStyle w:val="NormalWeb"/>
        <w:jc w:val="both"/>
        <w:rPr>
          <w:rFonts w:ascii="Arial" w:hAnsi="Arial" w:cs="Arial"/>
          <w:sz w:val="20"/>
          <w:szCs w:val="20"/>
        </w:rPr>
      </w:pPr>
    </w:p>
    <w:p w:rsidR="00C14FEC" w:rsidRDefault="00C14FEC" w:rsidP="00C14FEC">
      <w:pPr>
        <w:pStyle w:val="NormalWeb"/>
        <w:jc w:val="both"/>
        <w:rPr>
          <w:rFonts w:ascii="Arial" w:hAnsi="Arial" w:cs="Arial"/>
          <w:sz w:val="20"/>
          <w:szCs w:val="20"/>
        </w:rPr>
      </w:pPr>
      <w:r>
        <w:rPr>
          <w:rFonts w:ascii="Arial" w:hAnsi="Arial" w:cs="Arial"/>
          <w:sz w:val="20"/>
          <w:szCs w:val="20"/>
        </w:rPr>
        <w:t xml:space="preserve">The European debate on fiscal austerity has gone astray – focusing exclusively on the </w:t>
      </w:r>
      <w:r>
        <w:rPr>
          <w:rFonts w:ascii="Arial" w:hAnsi="Arial" w:cs="Arial"/>
          <w:i/>
          <w:iCs/>
          <w:sz w:val="20"/>
          <w:szCs w:val="20"/>
        </w:rPr>
        <w:t>size</w:t>
      </w:r>
      <w:r>
        <w:rPr>
          <w:rFonts w:ascii="Arial" w:hAnsi="Arial" w:cs="Arial"/>
          <w:sz w:val="20"/>
          <w:szCs w:val="20"/>
        </w:rPr>
        <w:t xml:space="preserve"> of deficit reductions. What policy makers should really be focusing on is the budget tightening’s </w:t>
      </w:r>
      <w:r>
        <w:rPr>
          <w:rFonts w:ascii="Arial" w:hAnsi="Arial" w:cs="Arial"/>
          <w:i/>
          <w:iCs/>
          <w:sz w:val="20"/>
          <w:szCs w:val="20"/>
        </w:rPr>
        <w:t xml:space="preserve">composition </w:t>
      </w:r>
      <w:r>
        <w:rPr>
          <w:rFonts w:ascii="Arial" w:hAnsi="Arial" w:cs="Arial"/>
          <w:sz w:val="20"/>
          <w:szCs w:val="20"/>
        </w:rPr>
        <w:t>(tax versus spending) and on the accompanying policies. Indeed, the title of this Vox debate – “</w:t>
      </w:r>
      <w:hyperlink r:id="rId7" w:history="1">
        <w:r>
          <w:rPr>
            <w:rStyle w:val="Hyperlink"/>
            <w:sz w:val="20"/>
            <w:szCs w:val="20"/>
          </w:rPr>
          <w:t>Has austerity gone too far?</w:t>
        </w:r>
      </w:hyperlink>
      <w:r>
        <w:rPr>
          <w:rFonts w:ascii="Arial" w:hAnsi="Arial" w:cs="Arial"/>
          <w:sz w:val="20"/>
          <w:szCs w:val="20"/>
        </w:rPr>
        <w:t>” – reflects this inappropriate emphasis on size.</w:t>
      </w:r>
    </w:p>
    <w:p w:rsidR="00C14FEC" w:rsidRDefault="00C14FEC" w:rsidP="00C14FEC">
      <w:pPr>
        <w:pStyle w:val="NormalWeb"/>
        <w:jc w:val="both"/>
        <w:rPr>
          <w:rFonts w:ascii="Arial" w:hAnsi="Arial" w:cs="Arial"/>
          <w:sz w:val="20"/>
          <w:szCs w:val="20"/>
        </w:rPr>
      </w:pPr>
      <w:r>
        <w:rPr>
          <w:rFonts w:ascii="Arial" w:hAnsi="Arial" w:cs="Arial"/>
          <w:sz w:val="20"/>
          <w:szCs w:val="20"/>
        </w:rPr>
        <w:t>In our view, the essential question is not 'how far' governments go but of 'how' they go far enough.</w:t>
      </w:r>
    </w:p>
    <w:p w:rsidR="00C14FEC" w:rsidRDefault="00C14FEC" w:rsidP="00C14FEC">
      <w:pPr>
        <w:pStyle w:val="NormalWeb"/>
        <w:jc w:val="both"/>
        <w:rPr>
          <w:rFonts w:ascii="Arial" w:hAnsi="Arial" w:cs="Arial"/>
          <w:sz w:val="20"/>
          <w:szCs w:val="20"/>
        </w:rPr>
      </w:pPr>
    </w:p>
    <w:p w:rsidR="00C14FEC" w:rsidRDefault="00C14FEC" w:rsidP="00C14FEC">
      <w:pPr>
        <w:pStyle w:val="Heading1"/>
        <w:spacing w:before="0" w:after="0"/>
        <w:jc w:val="both"/>
        <w:rPr>
          <w:sz w:val="28"/>
          <w:szCs w:val="28"/>
        </w:rPr>
      </w:pPr>
      <w:r>
        <w:rPr>
          <w:sz w:val="28"/>
          <w:szCs w:val="28"/>
        </w:rPr>
        <w:t>Evidence on new taxes versus new spending cuts</w:t>
      </w:r>
    </w:p>
    <w:p w:rsidR="00C14FEC" w:rsidRDefault="00C14FEC" w:rsidP="00C14FEC">
      <w:pPr>
        <w:pStyle w:val="NormalWeb"/>
        <w:jc w:val="both"/>
        <w:rPr>
          <w:rFonts w:ascii="Arial" w:hAnsi="Arial" w:cs="Arial"/>
          <w:sz w:val="20"/>
          <w:szCs w:val="20"/>
        </w:rPr>
      </w:pPr>
      <w:r>
        <w:rPr>
          <w:rFonts w:ascii="Arial" w:hAnsi="Arial" w:cs="Arial"/>
          <w:sz w:val="20"/>
          <w:szCs w:val="20"/>
        </w:rPr>
        <w:t>Economists have engaged in some lively debates about how to measure and evaluate the effects of large fiscal adjustments episodes in OECD countries (Europe in particular). But a careful and fair reading of the evidence makes clear a few relatively uncontroversial points, despite the differences in approaches. The accumulated evidence from over 40 years of fiscal adjustments across the OECD speaks loud and clear:</w:t>
      </w:r>
    </w:p>
    <w:p w:rsidR="00C14FEC" w:rsidRDefault="00C14FEC" w:rsidP="00C14FEC">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First, adjustments achieved through spending cuts are less recessionary than those achieved through tax increases.</w:t>
      </w:r>
    </w:p>
    <w:p w:rsidR="00C14FEC" w:rsidRDefault="00C14FEC" w:rsidP="00C14FEC">
      <w:pPr>
        <w:numPr>
          <w:ilvl w:val="0"/>
          <w:numId w:val="1"/>
        </w:numPr>
        <w:spacing w:after="0" w:line="240" w:lineRule="auto"/>
        <w:ind w:left="0" w:firstLine="0"/>
        <w:jc w:val="both"/>
        <w:rPr>
          <w:rFonts w:ascii="Arial" w:hAnsi="Arial" w:cs="Arial"/>
          <w:sz w:val="20"/>
          <w:szCs w:val="20"/>
        </w:rPr>
      </w:pPr>
      <w:r>
        <w:rPr>
          <w:rFonts w:ascii="Arial" w:hAnsi="Arial" w:cs="Arial"/>
          <w:sz w:val="20"/>
          <w:szCs w:val="20"/>
        </w:rPr>
        <w:t>Second, spending-based consolidations accompanied by the right polices tend to be less recessionary or even have a positive impact on growth.</w:t>
      </w:r>
    </w:p>
    <w:p w:rsidR="00C14FEC" w:rsidRDefault="00C14FEC" w:rsidP="00C14FEC">
      <w:pPr>
        <w:pStyle w:val="NormalWeb"/>
        <w:jc w:val="both"/>
        <w:rPr>
          <w:rFonts w:ascii="Arial" w:hAnsi="Arial" w:cs="Arial"/>
          <w:sz w:val="20"/>
          <w:szCs w:val="20"/>
        </w:rPr>
      </w:pPr>
      <w:r>
        <w:rPr>
          <w:rFonts w:ascii="Arial" w:hAnsi="Arial" w:cs="Arial"/>
          <w:sz w:val="20"/>
          <w:szCs w:val="20"/>
        </w:rPr>
        <w:t>These accompanying policies include easy money policy, liberalisation of goods and labour markets, and other structural reforms.</w:t>
      </w:r>
    </w:p>
    <w:p w:rsidR="00C14FEC" w:rsidRDefault="00C14FEC" w:rsidP="00C14FEC">
      <w:pPr>
        <w:pStyle w:val="NormalWeb"/>
        <w:jc w:val="both"/>
        <w:rPr>
          <w:rFonts w:ascii="Arial" w:hAnsi="Arial" w:cs="Arial"/>
          <w:sz w:val="20"/>
          <w:szCs w:val="20"/>
        </w:rPr>
      </w:pPr>
      <w:r>
        <w:rPr>
          <w:rFonts w:ascii="Arial" w:hAnsi="Arial" w:cs="Arial"/>
          <w:sz w:val="20"/>
          <w:szCs w:val="20"/>
        </w:rPr>
        <w:t>There remains a lot of work to be done on identifying the appropriate accompanying policies and understanding the channels through which they help spending-based stabilisations, but the fact is there, as shown for instance in a recent paper by Roberto Perotti (2011).</w:t>
      </w:r>
    </w:p>
    <w:p w:rsidR="00C14FEC" w:rsidRDefault="00C14FEC" w:rsidP="00C14FEC">
      <w:pPr>
        <w:numPr>
          <w:ilvl w:val="0"/>
          <w:numId w:val="2"/>
        </w:numPr>
        <w:spacing w:after="0" w:line="240" w:lineRule="auto"/>
        <w:ind w:left="0" w:firstLine="0"/>
        <w:jc w:val="both"/>
        <w:rPr>
          <w:rFonts w:ascii="Arial" w:hAnsi="Arial" w:cs="Arial"/>
          <w:sz w:val="20"/>
          <w:szCs w:val="20"/>
        </w:rPr>
      </w:pPr>
      <w:r>
        <w:rPr>
          <w:rFonts w:ascii="Arial" w:hAnsi="Arial" w:cs="Arial"/>
          <w:sz w:val="20"/>
          <w:szCs w:val="20"/>
        </w:rPr>
        <w:t>Third, only spending-based adjustments have eventually led to a permanent consolidation of the budget, as measured by the stabilisation – if not the reduction – of debt-to-GDP ratios.</w:t>
      </w:r>
    </w:p>
    <w:p w:rsidR="00C14FEC" w:rsidRDefault="00C14FEC" w:rsidP="00C14FEC">
      <w:pPr>
        <w:numPr>
          <w:ilvl w:val="0"/>
          <w:numId w:val="2"/>
        </w:numPr>
        <w:spacing w:after="0" w:line="240" w:lineRule="auto"/>
        <w:ind w:left="0" w:firstLine="0"/>
        <w:jc w:val="both"/>
        <w:rPr>
          <w:rFonts w:ascii="Arial" w:hAnsi="Arial" w:cs="Arial"/>
          <w:sz w:val="20"/>
          <w:szCs w:val="20"/>
        </w:rPr>
      </w:pPr>
    </w:p>
    <w:p w:rsidR="00C14FEC" w:rsidRDefault="00C14FEC" w:rsidP="00C14FEC">
      <w:pPr>
        <w:pStyle w:val="Heading1"/>
        <w:spacing w:before="0" w:after="0"/>
        <w:jc w:val="both"/>
        <w:rPr>
          <w:sz w:val="28"/>
          <w:szCs w:val="28"/>
        </w:rPr>
      </w:pPr>
      <w:r>
        <w:rPr>
          <w:sz w:val="28"/>
          <w:szCs w:val="28"/>
        </w:rPr>
        <w:t>IMF research on the austerity composition issue</w:t>
      </w:r>
    </w:p>
    <w:p w:rsidR="00C14FEC" w:rsidRDefault="00C14FEC" w:rsidP="00C14FEC">
      <w:pPr>
        <w:pStyle w:val="NormalWeb"/>
        <w:jc w:val="both"/>
        <w:rPr>
          <w:rFonts w:ascii="Arial" w:hAnsi="Arial" w:cs="Arial"/>
          <w:sz w:val="20"/>
          <w:szCs w:val="20"/>
        </w:rPr>
      </w:pPr>
      <w:r>
        <w:rPr>
          <w:rFonts w:ascii="Arial" w:hAnsi="Arial" w:cs="Arial"/>
          <w:sz w:val="20"/>
          <w:szCs w:val="20"/>
        </w:rPr>
        <w:t xml:space="preserve">Two recent IMF publications (IMF, 2010, Chapter 3, and Devries </w:t>
      </w:r>
      <w:r>
        <w:rPr>
          <w:rFonts w:ascii="Arial" w:hAnsi="Arial" w:cs="Arial"/>
          <w:i/>
          <w:iCs/>
          <w:sz w:val="20"/>
          <w:szCs w:val="20"/>
        </w:rPr>
        <w:t>et al</w:t>
      </w:r>
      <w:r>
        <w:rPr>
          <w:rFonts w:ascii="Arial" w:hAnsi="Arial" w:cs="Arial"/>
          <w:sz w:val="20"/>
          <w:szCs w:val="20"/>
        </w:rPr>
        <w:t xml:space="preserve"> 2011) agree that spending-based adjustments are indeed those that work – but not because of their composition, rather because almost ‘by chance’ spending-based adjustments are accompanied by reductions in long-term interest rates, or a stabilisation of the exchange rate, the stock market, or all of the above.</w:t>
      </w:r>
    </w:p>
    <w:p w:rsidR="00C14FEC" w:rsidRDefault="00C14FEC" w:rsidP="00C14FEC">
      <w:pPr>
        <w:pStyle w:val="NormalWeb"/>
        <w:jc w:val="both"/>
        <w:rPr>
          <w:rFonts w:ascii="Arial" w:hAnsi="Arial" w:cs="Arial"/>
          <w:sz w:val="20"/>
          <w:szCs w:val="20"/>
        </w:rPr>
      </w:pPr>
      <w:r>
        <w:rPr>
          <w:rFonts w:ascii="Arial" w:hAnsi="Arial" w:cs="Arial"/>
          <w:sz w:val="20"/>
          <w:szCs w:val="20"/>
        </w:rPr>
        <w:t>This line of argument is flawed on purely logical grounds. Financial prices – interest rates, the exchange rate, the stock market – are not exogenous. They respond to fiscal policy announcements. For instance, if investors perceive, correctly, that only spending-based adjustments will lead to a permanent consolidation of the budget, this will increase ‘confidence’ and result in lower interest rates and higher stock prices.</w:t>
      </w:r>
    </w:p>
    <w:p w:rsidR="00C14FEC" w:rsidRDefault="00C14FEC" w:rsidP="00C14FEC">
      <w:pPr>
        <w:pStyle w:val="NormalWeb"/>
        <w:jc w:val="both"/>
        <w:rPr>
          <w:rFonts w:ascii="Arial" w:hAnsi="Arial" w:cs="Arial"/>
          <w:sz w:val="20"/>
          <w:szCs w:val="20"/>
        </w:rPr>
      </w:pPr>
    </w:p>
    <w:p w:rsidR="00C14FEC" w:rsidRDefault="00C14FEC" w:rsidP="00C14FEC">
      <w:pPr>
        <w:pStyle w:val="NormalWeb"/>
        <w:jc w:val="both"/>
        <w:rPr>
          <w:rFonts w:ascii="Arial" w:hAnsi="Arial" w:cs="Arial"/>
          <w:sz w:val="20"/>
          <w:szCs w:val="20"/>
        </w:rPr>
      </w:pPr>
      <w:r>
        <w:rPr>
          <w:rFonts w:ascii="Arial" w:hAnsi="Arial" w:cs="Arial"/>
          <w:sz w:val="20"/>
          <w:szCs w:val="20"/>
        </w:rPr>
        <w:t>A more convincing piece of evidence comes from a comparison of the effects of different ‘types’ of fiscal adjustment on confidence and on output. Tax-based stabilisations not only eventually fail, in the sense that they are unable to stop the growth of the debt-to-GDP ratio. When these fiscal packages are announced entrepreneurs’ confidence falls sharply, and this is reflected in a fall in output. On the other hand, spending-based stabilisations (especially if accompanied by appropriate contemporaneous polices) do not negatively affect economic confidence contemporaneously. Moreover they are often accompanied by an increase in output within a year.</w:t>
      </w:r>
    </w:p>
    <w:p w:rsidR="00C14FEC" w:rsidRDefault="00C14FEC" w:rsidP="00C14FEC">
      <w:pPr>
        <w:pStyle w:val="NormalWeb"/>
        <w:jc w:val="both"/>
        <w:rPr>
          <w:rFonts w:ascii="Arial" w:hAnsi="Arial" w:cs="Arial"/>
          <w:sz w:val="20"/>
          <w:szCs w:val="20"/>
        </w:rPr>
      </w:pPr>
    </w:p>
    <w:p w:rsidR="00C14FEC" w:rsidRDefault="00C14FEC" w:rsidP="00C14FEC">
      <w:pPr>
        <w:pStyle w:val="NormalWeb"/>
        <w:jc w:val="both"/>
        <w:rPr>
          <w:rFonts w:ascii="Arial" w:hAnsi="Arial" w:cs="Arial"/>
          <w:sz w:val="20"/>
          <w:szCs w:val="20"/>
        </w:rPr>
      </w:pPr>
      <w:r>
        <w:rPr>
          <w:rFonts w:ascii="Arial" w:hAnsi="Arial" w:cs="Arial"/>
          <w:sz w:val="20"/>
          <w:szCs w:val="20"/>
        </w:rPr>
        <w:t>It stands to reasons that European countries where tax revenues are close to 50% of GDP do not have the room to increase revenues even more.</w:t>
      </w:r>
    </w:p>
    <w:p w:rsidR="00C14FEC" w:rsidRDefault="00C14FEC" w:rsidP="00C14FEC">
      <w:pPr>
        <w:pStyle w:val="NormalWeb"/>
        <w:jc w:val="both"/>
        <w:rPr>
          <w:rFonts w:ascii="Arial" w:hAnsi="Arial" w:cs="Arial"/>
          <w:sz w:val="20"/>
          <w:szCs w:val="20"/>
        </w:rPr>
      </w:pPr>
    </w:p>
    <w:p w:rsidR="00C14FEC" w:rsidRDefault="00C14FEC" w:rsidP="00C14FEC">
      <w:pPr>
        <w:pStyle w:val="NormalWeb"/>
        <w:jc w:val="both"/>
        <w:rPr>
          <w:rFonts w:ascii="Arial" w:hAnsi="Arial" w:cs="Arial"/>
          <w:sz w:val="20"/>
          <w:szCs w:val="20"/>
        </w:rPr>
      </w:pPr>
      <w:r>
        <w:rPr>
          <w:rFonts w:ascii="Arial" w:hAnsi="Arial" w:cs="Arial"/>
          <w:sz w:val="20"/>
          <w:szCs w:val="20"/>
        </w:rPr>
        <w:lastRenderedPageBreak/>
        <w:t>A paper by Harald Uhlig and Mathias Trabandt (2012) nicely shows how close many European countries are to the top of realistically measured Laffer curves. Thus any additional tax hikes would lead to relative low increases in tax revenues and could be very recessionary, through the usual supply- and demand-side channels.</w:t>
      </w:r>
    </w:p>
    <w:p w:rsidR="00C14FEC" w:rsidRDefault="00C14FEC" w:rsidP="00C14FEC">
      <w:pPr>
        <w:pStyle w:val="NormalWeb"/>
        <w:jc w:val="both"/>
        <w:rPr>
          <w:rFonts w:ascii="Arial" w:hAnsi="Arial" w:cs="Arial"/>
          <w:sz w:val="20"/>
          <w:szCs w:val="20"/>
        </w:rPr>
      </w:pPr>
    </w:p>
    <w:p w:rsidR="00C14FEC" w:rsidRDefault="00C14FEC" w:rsidP="00C14FEC">
      <w:pPr>
        <w:pStyle w:val="NormalWeb"/>
        <w:jc w:val="both"/>
        <w:rPr>
          <w:rFonts w:ascii="Arial" w:hAnsi="Arial" w:cs="Arial"/>
          <w:sz w:val="20"/>
          <w:szCs w:val="20"/>
        </w:rPr>
      </w:pPr>
      <w:r>
        <w:rPr>
          <w:rFonts w:ascii="Arial" w:hAnsi="Arial" w:cs="Arial"/>
          <w:sz w:val="20"/>
          <w:szCs w:val="20"/>
        </w:rPr>
        <w:t>Given all of the above we should stop focusing fiscal policy discussions on the size of austerity programmes. A relatively small tax-based adjustment could be more recessionary than a larger one based upon spending cuts. Likewise, a small spending-based adjustment could be more effective at stabilising debt-to-GDP ratios than a larger tax-based adjustment.</w:t>
      </w:r>
    </w:p>
    <w:p w:rsidR="00C14FEC" w:rsidRDefault="00C14FEC" w:rsidP="00C14FEC">
      <w:pPr>
        <w:pStyle w:val="NormalWeb"/>
        <w:jc w:val="both"/>
        <w:rPr>
          <w:rFonts w:ascii="Arial" w:hAnsi="Arial" w:cs="Arial"/>
          <w:sz w:val="20"/>
          <w:szCs w:val="20"/>
        </w:rPr>
      </w:pPr>
    </w:p>
    <w:p w:rsidR="00C14FEC" w:rsidRDefault="00C14FEC" w:rsidP="00C14FEC">
      <w:pPr>
        <w:pStyle w:val="Heading1"/>
        <w:spacing w:before="0" w:after="0"/>
        <w:jc w:val="both"/>
        <w:rPr>
          <w:sz w:val="28"/>
          <w:szCs w:val="28"/>
        </w:rPr>
      </w:pPr>
      <w:r>
        <w:rPr>
          <w:sz w:val="28"/>
          <w:szCs w:val="28"/>
        </w:rPr>
        <w:t>Digging deeper into austerity’s composition</w:t>
      </w:r>
    </w:p>
    <w:p w:rsidR="00C14FEC" w:rsidRDefault="00C14FEC" w:rsidP="00C14FEC">
      <w:pPr>
        <w:pStyle w:val="NormalWeb"/>
        <w:jc w:val="both"/>
        <w:rPr>
          <w:rFonts w:ascii="Arial" w:hAnsi="Arial" w:cs="Arial"/>
          <w:sz w:val="20"/>
          <w:szCs w:val="20"/>
        </w:rPr>
      </w:pPr>
      <w:r>
        <w:rPr>
          <w:rFonts w:ascii="Arial" w:hAnsi="Arial" w:cs="Arial"/>
          <w:sz w:val="20"/>
          <w:szCs w:val="20"/>
        </w:rPr>
        <w:t>One should go even further in disentangling the effects of composition.</w:t>
      </w:r>
    </w:p>
    <w:p w:rsidR="00C14FEC" w:rsidRDefault="00C14FEC" w:rsidP="00C14FEC">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t>Which spending cuts are more likely to be effective?</w:t>
      </w:r>
    </w:p>
    <w:p w:rsidR="00C14FEC" w:rsidRDefault="00C14FEC" w:rsidP="00C14FEC">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t>Which kind of tax reforms could achieve the same amount of tax revenue with fewer distortions?</w:t>
      </w:r>
    </w:p>
    <w:p w:rsidR="00C14FEC" w:rsidRDefault="00C14FEC" w:rsidP="00C14FEC">
      <w:pPr>
        <w:numPr>
          <w:ilvl w:val="0"/>
          <w:numId w:val="3"/>
        </w:numPr>
        <w:spacing w:after="0" w:line="240" w:lineRule="auto"/>
        <w:ind w:left="0" w:firstLine="0"/>
        <w:jc w:val="both"/>
        <w:rPr>
          <w:rFonts w:ascii="Arial" w:hAnsi="Arial" w:cs="Arial"/>
          <w:sz w:val="20"/>
          <w:szCs w:val="20"/>
        </w:rPr>
      </w:pPr>
      <w:r>
        <w:rPr>
          <w:rFonts w:ascii="Arial" w:hAnsi="Arial" w:cs="Arial"/>
          <w:sz w:val="20"/>
          <w:szCs w:val="20"/>
        </w:rPr>
        <w:t>From where should market liberalisations start, and how fast should they proceed?</w:t>
      </w:r>
    </w:p>
    <w:p w:rsidR="00C14FEC" w:rsidRDefault="00C14FEC" w:rsidP="00C14FEC">
      <w:pPr>
        <w:pStyle w:val="NormalWeb"/>
        <w:jc w:val="both"/>
        <w:rPr>
          <w:rFonts w:ascii="Arial" w:hAnsi="Arial" w:cs="Arial"/>
          <w:sz w:val="20"/>
          <w:szCs w:val="20"/>
        </w:rPr>
      </w:pPr>
      <w:r>
        <w:rPr>
          <w:rFonts w:ascii="Arial" w:hAnsi="Arial" w:cs="Arial"/>
          <w:sz w:val="20"/>
          <w:szCs w:val="20"/>
        </w:rPr>
        <w:t>Some answers may be the same for all countries, others may differ.</w:t>
      </w:r>
    </w:p>
    <w:p w:rsidR="00C14FEC" w:rsidRDefault="00C14FEC" w:rsidP="00C14FEC">
      <w:pPr>
        <w:numPr>
          <w:ilvl w:val="0"/>
          <w:numId w:val="4"/>
        </w:numPr>
        <w:spacing w:after="0" w:line="240" w:lineRule="auto"/>
        <w:ind w:left="0" w:firstLine="0"/>
        <w:jc w:val="both"/>
        <w:rPr>
          <w:rFonts w:ascii="Arial" w:hAnsi="Arial" w:cs="Arial"/>
          <w:sz w:val="20"/>
          <w:szCs w:val="20"/>
        </w:rPr>
      </w:pPr>
      <w:r>
        <w:rPr>
          <w:rFonts w:ascii="Arial" w:hAnsi="Arial" w:cs="Arial"/>
          <w:sz w:val="20"/>
          <w:szCs w:val="20"/>
        </w:rPr>
        <w:t>For instance, in general moving taxation towards the VAT and away from income taxes is preferable.</w:t>
      </w:r>
    </w:p>
    <w:p w:rsidR="00C14FEC" w:rsidRDefault="00C14FEC" w:rsidP="00C14FEC">
      <w:pPr>
        <w:numPr>
          <w:ilvl w:val="0"/>
          <w:numId w:val="4"/>
        </w:numPr>
        <w:spacing w:after="0" w:line="240" w:lineRule="auto"/>
        <w:ind w:left="0" w:firstLine="0"/>
        <w:jc w:val="both"/>
        <w:rPr>
          <w:rFonts w:ascii="Arial" w:hAnsi="Arial" w:cs="Arial"/>
          <w:sz w:val="20"/>
          <w:szCs w:val="20"/>
        </w:rPr>
      </w:pPr>
      <w:r>
        <w:rPr>
          <w:rFonts w:ascii="Arial" w:hAnsi="Arial" w:cs="Arial"/>
          <w:sz w:val="20"/>
          <w:szCs w:val="20"/>
        </w:rPr>
        <w:t>In some countries there is no way out without a substantial raise in retirement age and cuts in government employment.</w:t>
      </w:r>
    </w:p>
    <w:p w:rsidR="00C14FEC" w:rsidRDefault="00C14FEC" w:rsidP="00C14FEC">
      <w:pPr>
        <w:pStyle w:val="NormalWeb"/>
        <w:jc w:val="both"/>
        <w:rPr>
          <w:rFonts w:ascii="Arial" w:hAnsi="Arial" w:cs="Arial"/>
          <w:sz w:val="20"/>
          <w:szCs w:val="20"/>
        </w:rPr>
      </w:pPr>
      <w:r>
        <w:rPr>
          <w:rFonts w:ascii="Arial" w:hAnsi="Arial" w:cs="Arial"/>
          <w:sz w:val="20"/>
          <w:szCs w:val="20"/>
        </w:rPr>
        <w:t>Incidentally this provides a clear link with labour-market reforms. Public-sector employment can only be reduced after firing constraints are moved and appropriate safety nets are put in place. Similarly the emphasis on the need and productivity of physical infrastructures is often misleading, at least in many countries.</w:t>
      </w:r>
    </w:p>
    <w:p w:rsidR="00C14FEC" w:rsidRDefault="00C14FEC" w:rsidP="00C14FEC">
      <w:pPr>
        <w:pStyle w:val="NormalWeb"/>
        <w:jc w:val="both"/>
        <w:rPr>
          <w:rFonts w:ascii="Arial" w:hAnsi="Arial" w:cs="Arial"/>
          <w:sz w:val="20"/>
          <w:szCs w:val="20"/>
        </w:rPr>
      </w:pPr>
    </w:p>
    <w:p w:rsidR="00C14FEC" w:rsidRDefault="00C14FEC" w:rsidP="00C14FEC">
      <w:pPr>
        <w:pStyle w:val="Heading1"/>
        <w:spacing w:before="0" w:after="0"/>
        <w:jc w:val="both"/>
        <w:rPr>
          <w:sz w:val="28"/>
          <w:szCs w:val="28"/>
        </w:rPr>
      </w:pPr>
      <w:r>
        <w:rPr>
          <w:sz w:val="28"/>
          <w:szCs w:val="28"/>
        </w:rPr>
        <w:t>Conclusion</w:t>
      </w:r>
    </w:p>
    <w:p w:rsidR="00C14FEC" w:rsidRDefault="00C14FEC" w:rsidP="00C14FEC">
      <w:pPr>
        <w:pStyle w:val="NormalWeb"/>
        <w:jc w:val="both"/>
        <w:rPr>
          <w:rFonts w:ascii="Arial" w:hAnsi="Arial" w:cs="Arial"/>
          <w:sz w:val="20"/>
          <w:szCs w:val="20"/>
        </w:rPr>
      </w:pPr>
      <w:r>
        <w:rPr>
          <w:rFonts w:ascii="Arial" w:hAnsi="Arial" w:cs="Arial"/>
          <w:sz w:val="20"/>
          <w:szCs w:val="20"/>
        </w:rPr>
        <w:t>Until this critical principle – ‘how’ is as important as ‘how much’ – is embraced, the austerity debate in Europe will continue to be completely out of whack with real economic consequences.</w:t>
      </w:r>
    </w:p>
    <w:p w:rsidR="00C14FEC" w:rsidRDefault="00C14FEC" w:rsidP="00C14FEC">
      <w:pPr>
        <w:pStyle w:val="NormalWeb"/>
        <w:jc w:val="both"/>
        <w:rPr>
          <w:rFonts w:ascii="Arial" w:hAnsi="Arial" w:cs="Arial"/>
          <w:sz w:val="20"/>
          <w:szCs w:val="20"/>
        </w:rPr>
      </w:pPr>
      <w:r>
        <w:rPr>
          <w:rFonts w:ascii="Arial" w:hAnsi="Arial" w:cs="Arial"/>
          <w:sz w:val="20"/>
          <w:szCs w:val="20"/>
        </w:rPr>
        <w:t xml:space="preserve">We are in for a big disappointment on the centrepiece of Eurozone austerity – the fiscal compact. The fiscal compact bears the seeds of its failure: </w:t>
      </w:r>
    </w:p>
    <w:p w:rsidR="00C14FEC" w:rsidRDefault="00C14FEC" w:rsidP="00C14FEC">
      <w:pPr>
        <w:numPr>
          <w:ilvl w:val="0"/>
          <w:numId w:val="5"/>
        </w:numPr>
        <w:spacing w:after="0" w:line="240" w:lineRule="auto"/>
        <w:ind w:left="0" w:firstLine="0"/>
        <w:jc w:val="both"/>
        <w:rPr>
          <w:rFonts w:ascii="Arial" w:hAnsi="Arial" w:cs="Arial"/>
          <w:sz w:val="20"/>
          <w:szCs w:val="20"/>
        </w:rPr>
      </w:pPr>
      <w:r>
        <w:rPr>
          <w:rFonts w:ascii="Arial" w:hAnsi="Arial" w:cs="Arial"/>
          <w:sz w:val="20"/>
          <w:szCs w:val="20"/>
        </w:rPr>
        <w:t>The new fiscal compact that Europe has decided to impose upon itself through a treaty change makes no mention of the composition of fiscal packages.</w:t>
      </w:r>
    </w:p>
    <w:p w:rsidR="00C14FEC" w:rsidRDefault="00C14FEC" w:rsidP="00C14FEC">
      <w:pPr>
        <w:numPr>
          <w:ilvl w:val="0"/>
          <w:numId w:val="5"/>
        </w:numPr>
        <w:spacing w:after="0" w:line="240" w:lineRule="auto"/>
        <w:ind w:left="0" w:firstLine="0"/>
        <w:jc w:val="both"/>
        <w:rPr>
          <w:rFonts w:ascii="Arial" w:hAnsi="Arial" w:cs="Arial"/>
          <w:sz w:val="20"/>
          <w:szCs w:val="20"/>
        </w:rPr>
      </w:pPr>
      <w:r>
        <w:rPr>
          <w:rFonts w:ascii="Arial" w:hAnsi="Arial" w:cs="Arial"/>
          <w:sz w:val="20"/>
          <w:szCs w:val="20"/>
        </w:rPr>
        <w:t>European economies will remain stagnant – if not further fall into recession – if adjustments will be made mostly on the tax side and debt ratios will not come down.</w:t>
      </w:r>
    </w:p>
    <w:p w:rsidR="00C14FEC" w:rsidRDefault="00C14FEC" w:rsidP="00C14FEC">
      <w:pPr>
        <w:pStyle w:val="NormalWeb"/>
        <w:jc w:val="both"/>
        <w:rPr>
          <w:rFonts w:ascii="Arial" w:hAnsi="Arial" w:cs="Arial"/>
          <w:sz w:val="20"/>
          <w:szCs w:val="20"/>
        </w:rPr>
      </w:pPr>
      <w:r>
        <w:rPr>
          <w:rFonts w:ascii="Arial" w:hAnsi="Arial" w:cs="Arial"/>
          <w:sz w:val="20"/>
          <w:szCs w:val="20"/>
        </w:rPr>
        <w:t>And in the end, as was the case with the Growth and Stability Pact, the rules will be abandoned.</w:t>
      </w:r>
    </w:p>
    <w:p w:rsidR="00C14FEC" w:rsidRDefault="00C14FEC" w:rsidP="00C14FEC">
      <w:pPr>
        <w:pStyle w:val="NormalWeb"/>
        <w:jc w:val="both"/>
        <w:rPr>
          <w:rFonts w:ascii="Arial" w:hAnsi="Arial" w:cs="Arial"/>
          <w:sz w:val="20"/>
          <w:szCs w:val="20"/>
        </w:rPr>
      </w:pPr>
    </w:p>
    <w:p w:rsidR="00C14FEC" w:rsidRDefault="00C14FEC" w:rsidP="00C14FEC">
      <w:pPr>
        <w:pStyle w:val="Heading1"/>
        <w:spacing w:before="0" w:after="0"/>
        <w:jc w:val="both"/>
        <w:rPr>
          <w:sz w:val="28"/>
          <w:szCs w:val="28"/>
        </w:rPr>
      </w:pPr>
      <w:r>
        <w:rPr>
          <w:sz w:val="28"/>
          <w:szCs w:val="28"/>
        </w:rPr>
        <w:t>References</w:t>
      </w:r>
    </w:p>
    <w:p w:rsidR="00C14FEC" w:rsidRDefault="00C14FEC" w:rsidP="00C14FEC">
      <w:pPr>
        <w:spacing w:after="0" w:line="240" w:lineRule="auto"/>
        <w:jc w:val="both"/>
        <w:rPr>
          <w:rFonts w:ascii="Arial" w:hAnsi="Arial" w:cs="Arial"/>
          <w:sz w:val="20"/>
          <w:szCs w:val="20"/>
        </w:rPr>
      </w:pPr>
      <w:r>
        <w:rPr>
          <w:rFonts w:ascii="Arial" w:hAnsi="Arial" w:cs="Arial"/>
          <w:sz w:val="20"/>
          <w:szCs w:val="20"/>
        </w:rPr>
        <w:t>Corsetti, G (2012), “</w:t>
      </w:r>
      <w:hyperlink r:id="rId8" w:history="1">
        <w:r>
          <w:rPr>
            <w:rStyle w:val="Hyperlink"/>
            <w:sz w:val="20"/>
            <w:szCs w:val="20"/>
          </w:rPr>
          <w:t>Has austerity gone too far? A new Vox Debate</w:t>
        </w:r>
      </w:hyperlink>
      <w:r>
        <w:rPr>
          <w:rFonts w:ascii="Arial" w:hAnsi="Arial" w:cs="Arial"/>
          <w:sz w:val="20"/>
          <w:szCs w:val="20"/>
        </w:rPr>
        <w:t>”, VoxEU.org, 2 April.</w:t>
      </w:r>
    </w:p>
    <w:p w:rsidR="00C14FEC" w:rsidRDefault="00C14FEC" w:rsidP="00C14FEC">
      <w:pPr>
        <w:spacing w:after="0" w:line="240" w:lineRule="auto"/>
        <w:jc w:val="both"/>
        <w:rPr>
          <w:rFonts w:ascii="Arial" w:hAnsi="Arial" w:cs="Arial"/>
          <w:sz w:val="20"/>
          <w:szCs w:val="20"/>
        </w:rPr>
      </w:pPr>
      <w:r>
        <w:rPr>
          <w:rFonts w:ascii="Arial" w:hAnsi="Arial" w:cs="Arial"/>
          <w:sz w:val="20"/>
          <w:szCs w:val="20"/>
        </w:rPr>
        <w:t>Devries, P, J Guajardo, D Leigh, and A Pescatori (2011), “A New Action-Based Dataset of Fiscal Consolidation,” IMF Working Paper No. 11/128.</w:t>
      </w:r>
    </w:p>
    <w:p w:rsidR="00C14FEC" w:rsidRDefault="00C14FEC" w:rsidP="00C14FEC">
      <w:pPr>
        <w:spacing w:after="0" w:line="240" w:lineRule="auto"/>
        <w:jc w:val="both"/>
        <w:rPr>
          <w:rFonts w:ascii="Arial" w:hAnsi="Arial" w:cs="Arial"/>
          <w:sz w:val="20"/>
          <w:szCs w:val="20"/>
        </w:rPr>
      </w:pPr>
      <w:r>
        <w:rPr>
          <w:rFonts w:ascii="Arial" w:hAnsi="Arial" w:cs="Arial"/>
          <w:sz w:val="20"/>
          <w:szCs w:val="20"/>
        </w:rPr>
        <w:t xml:space="preserve">IMF (2010), “Chapter 3”, </w:t>
      </w:r>
      <w:r>
        <w:rPr>
          <w:rFonts w:ascii="Arial" w:hAnsi="Arial" w:cs="Arial"/>
          <w:i/>
          <w:iCs/>
          <w:sz w:val="20"/>
          <w:szCs w:val="20"/>
        </w:rPr>
        <w:t>World Economic Outlook</w:t>
      </w:r>
      <w:r>
        <w:rPr>
          <w:rFonts w:ascii="Arial" w:hAnsi="Arial" w:cs="Arial"/>
          <w:sz w:val="20"/>
          <w:szCs w:val="20"/>
        </w:rPr>
        <w:t>, Washington, DC: International Monetary Fund.</w:t>
      </w:r>
    </w:p>
    <w:p w:rsidR="00C14FEC" w:rsidRDefault="00C14FEC" w:rsidP="00C14FEC">
      <w:pPr>
        <w:spacing w:after="0" w:line="240" w:lineRule="auto"/>
        <w:jc w:val="both"/>
        <w:rPr>
          <w:rFonts w:ascii="Arial" w:hAnsi="Arial" w:cs="Arial"/>
          <w:sz w:val="20"/>
          <w:szCs w:val="20"/>
        </w:rPr>
      </w:pPr>
      <w:r>
        <w:rPr>
          <w:rFonts w:ascii="Arial" w:hAnsi="Arial" w:cs="Arial"/>
          <w:sz w:val="20"/>
          <w:szCs w:val="20"/>
        </w:rPr>
        <w:t>Perotti, R (2011), “The ‘Austerity Myth’: Gain Without Pain?” NBER Working Paper No 17571.</w:t>
      </w:r>
    </w:p>
    <w:p w:rsidR="00C14FEC" w:rsidRPr="00C14FEC" w:rsidRDefault="00C14FEC" w:rsidP="00C14FEC">
      <w:pPr>
        <w:pStyle w:val="Heading1"/>
        <w:shd w:val="clear" w:color="auto" w:fill="FFFFFF"/>
        <w:spacing w:before="0" w:after="0"/>
        <w:rPr>
          <w:b w:val="0"/>
          <w:sz w:val="20"/>
          <w:szCs w:val="20"/>
        </w:rPr>
      </w:pPr>
      <w:r w:rsidRPr="00C14FEC">
        <w:rPr>
          <w:b w:val="0"/>
          <w:sz w:val="20"/>
          <w:szCs w:val="20"/>
        </w:rPr>
        <w:t>Trabandt, M and H Uhlig (2012), “How Do Laffer Curves Differ Across Countries” , NBER Working Paper No 17862.</w:t>
      </w:r>
    </w:p>
    <w:p w:rsidR="007A7975" w:rsidRDefault="007A7975" w:rsidP="007A7975">
      <w:pPr>
        <w:shd w:val="clear" w:color="auto" w:fill="FFFFFF"/>
        <w:spacing w:line="360" w:lineRule="atLeast"/>
        <w:rPr>
          <w:rFonts w:ascii="Verdana" w:hAnsi="Verdana" w:cs="Arial"/>
          <w:vanish/>
          <w:color w:val="111111"/>
          <w:sz w:val="18"/>
          <w:szCs w:val="18"/>
        </w:rPr>
      </w:pPr>
    </w:p>
    <w:tbl>
      <w:tblPr>
        <w:tblW w:w="82" w:type="pct"/>
        <w:tblCellMar>
          <w:top w:w="15" w:type="dxa"/>
          <w:left w:w="15" w:type="dxa"/>
          <w:bottom w:w="15" w:type="dxa"/>
          <w:right w:w="15" w:type="dxa"/>
        </w:tblCellMar>
        <w:tblLook w:val="04A0"/>
      </w:tblPr>
      <w:tblGrid>
        <w:gridCol w:w="151"/>
      </w:tblGrid>
      <w:tr w:rsidR="007A7975" w:rsidTr="005219B2">
        <w:trPr>
          <w:trHeight w:val="249"/>
        </w:trPr>
        <w:tc>
          <w:tcPr>
            <w:tcW w:w="5000" w:type="pct"/>
            <w:tcMar>
              <w:top w:w="60" w:type="dxa"/>
              <w:left w:w="60" w:type="dxa"/>
              <w:bottom w:w="60" w:type="dxa"/>
              <w:right w:w="60" w:type="dxa"/>
            </w:tcMar>
            <w:hideMark/>
          </w:tcPr>
          <w:p w:rsidR="007A7975" w:rsidRDefault="007A7975" w:rsidP="007A7975">
            <w:pPr>
              <w:jc w:val="both"/>
              <w:rPr>
                <w:rFonts w:ascii="Arial" w:hAnsi="Arial" w:cs="Arial"/>
                <w:sz w:val="20"/>
                <w:szCs w:val="20"/>
              </w:rPr>
            </w:pPr>
          </w:p>
        </w:tc>
      </w:tr>
    </w:tbl>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9"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0"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1"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2"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3"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4"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6CAC"/>
    <w:multiLevelType w:val="multilevel"/>
    <w:tmpl w:val="99BA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23690B"/>
    <w:multiLevelType w:val="multilevel"/>
    <w:tmpl w:val="2272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B3DD3"/>
    <w:multiLevelType w:val="multilevel"/>
    <w:tmpl w:val="F294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54429A"/>
    <w:multiLevelType w:val="multilevel"/>
    <w:tmpl w:val="AC04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C259C2"/>
    <w:multiLevelType w:val="multilevel"/>
    <w:tmpl w:val="78E0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05D2"/>
    <w:rsid w:val="00021AB0"/>
    <w:rsid w:val="00032B81"/>
    <w:rsid w:val="000331B6"/>
    <w:rsid w:val="00034765"/>
    <w:rsid w:val="000353A9"/>
    <w:rsid w:val="00047D20"/>
    <w:rsid w:val="00064C41"/>
    <w:rsid w:val="00075EFE"/>
    <w:rsid w:val="0008175A"/>
    <w:rsid w:val="00082D62"/>
    <w:rsid w:val="000851A7"/>
    <w:rsid w:val="00091197"/>
    <w:rsid w:val="0009467B"/>
    <w:rsid w:val="000972DF"/>
    <w:rsid w:val="000A07C8"/>
    <w:rsid w:val="000A5871"/>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B6C6C"/>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985"/>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C4912"/>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4167"/>
    <w:rsid w:val="003D6EC1"/>
    <w:rsid w:val="003F74D9"/>
    <w:rsid w:val="00400B36"/>
    <w:rsid w:val="0040615C"/>
    <w:rsid w:val="0042243E"/>
    <w:rsid w:val="00423F35"/>
    <w:rsid w:val="00430959"/>
    <w:rsid w:val="00434BB9"/>
    <w:rsid w:val="00440265"/>
    <w:rsid w:val="00456AEE"/>
    <w:rsid w:val="00466119"/>
    <w:rsid w:val="00467E59"/>
    <w:rsid w:val="004720EA"/>
    <w:rsid w:val="00482C45"/>
    <w:rsid w:val="00487559"/>
    <w:rsid w:val="0049031A"/>
    <w:rsid w:val="004A2F94"/>
    <w:rsid w:val="004D72CA"/>
    <w:rsid w:val="005028C1"/>
    <w:rsid w:val="005133C0"/>
    <w:rsid w:val="00517F1A"/>
    <w:rsid w:val="005219B2"/>
    <w:rsid w:val="00522BBC"/>
    <w:rsid w:val="00537C28"/>
    <w:rsid w:val="00540A81"/>
    <w:rsid w:val="00541E58"/>
    <w:rsid w:val="00545B85"/>
    <w:rsid w:val="00550026"/>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3F2E"/>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5179"/>
    <w:rsid w:val="007A6886"/>
    <w:rsid w:val="007A7975"/>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66BF9"/>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74168"/>
    <w:rsid w:val="0098085F"/>
    <w:rsid w:val="009B29FB"/>
    <w:rsid w:val="009B42C7"/>
    <w:rsid w:val="009B54C8"/>
    <w:rsid w:val="009B5DC7"/>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805B8"/>
    <w:rsid w:val="00A94D4A"/>
    <w:rsid w:val="00AA027D"/>
    <w:rsid w:val="00AA2BA1"/>
    <w:rsid w:val="00AA64D1"/>
    <w:rsid w:val="00AB4AFA"/>
    <w:rsid w:val="00AB6D62"/>
    <w:rsid w:val="00AB7C12"/>
    <w:rsid w:val="00AC6C4B"/>
    <w:rsid w:val="00AE0251"/>
    <w:rsid w:val="00AE0B02"/>
    <w:rsid w:val="00AE1BFA"/>
    <w:rsid w:val="00AE3B38"/>
    <w:rsid w:val="00AF4B29"/>
    <w:rsid w:val="00B125D0"/>
    <w:rsid w:val="00B501F2"/>
    <w:rsid w:val="00B51BD7"/>
    <w:rsid w:val="00B55BB1"/>
    <w:rsid w:val="00B56F25"/>
    <w:rsid w:val="00B7098E"/>
    <w:rsid w:val="00B9313E"/>
    <w:rsid w:val="00B95258"/>
    <w:rsid w:val="00B97C9C"/>
    <w:rsid w:val="00BA11B2"/>
    <w:rsid w:val="00BA4203"/>
    <w:rsid w:val="00BA7B70"/>
    <w:rsid w:val="00BC3324"/>
    <w:rsid w:val="00BC58F0"/>
    <w:rsid w:val="00BC6F53"/>
    <w:rsid w:val="00BD7786"/>
    <w:rsid w:val="00BD7943"/>
    <w:rsid w:val="00BE0848"/>
    <w:rsid w:val="00BF6BFE"/>
    <w:rsid w:val="00C107AD"/>
    <w:rsid w:val="00C14FEC"/>
    <w:rsid w:val="00C3169A"/>
    <w:rsid w:val="00C55E94"/>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08D8"/>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9C8"/>
    <w:rsid w:val="00F801EE"/>
    <w:rsid w:val="00F90C1F"/>
    <w:rsid w:val="00FA4A13"/>
    <w:rsid w:val="00FB35C9"/>
    <w:rsid w:val="00FB48D6"/>
    <w:rsid w:val="00FC6D8A"/>
    <w:rsid w:val="00FD26CF"/>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com/index.php?q=node/7818" TargetMode="External"/><Relationship Id="rId13" Type="http://schemas.openxmlformats.org/officeDocument/2006/relationships/hyperlink" Target="http://www.voxeu.org/index.php?q=node/87" TargetMode="External"/><Relationship Id="rId3" Type="http://schemas.openxmlformats.org/officeDocument/2006/relationships/settings" Target="settings.xml"/><Relationship Id="rId7" Type="http://schemas.openxmlformats.org/officeDocument/2006/relationships/hyperlink" Target="http://voxeu.org/index.php?q=node/7818" TargetMode="External"/><Relationship Id="rId12" Type="http://schemas.openxmlformats.org/officeDocument/2006/relationships/hyperlink" Target="http://www.voxeu.org/index.php?q=user/login&amp;destination=comment/reply/705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voxeu.org/index.php?q=node/103" TargetMode="External"/><Relationship Id="rId11" Type="http://schemas.openxmlformats.org/officeDocument/2006/relationships/hyperlink" Target="http://www.voxeu.org/index.php?q=node/86" TargetMode="External"/><Relationship Id="rId5" Type="http://schemas.openxmlformats.org/officeDocument/2006/relationships/hyperlink" Target="http://www.voxeu.org/index.php?q=node/95" TargetMode="External"/><Relationship Id="rId15" Type="http://schemas.openxmlformats.org/officeDocument/2006/relationships/fontTable" Target="fontTable.xml"/><Relationship Id="rId10" Type="http://schemas.openxmlformats.org/officeDocument/2006/relationships/hyperlink" Target="http://www.voxeu.org/index.php?q=node/87" TargetMode="External"/><Relationship Id="rId4" Type="http://schemas.openxmlformats.org/officeDocument/2006/relationships/webSettings" Target="webSettings.xml"/><Relationship Id="rId9" Type="http://schemas.openxmlformats.org/officeDocument/2006/relationships/hyperlink" Target="http://www.voxeu.org/index.php?q=user/login&amp;destination=comment/reply/7058" TargetMode="External"/><Relationship Id="rId14" Type="http://schemas.openxmlformats.org/officeDocument/2006/relationships/hyperlink" Target="http://www.voxeu.org/index.php?q=nod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2012-04-14T13:02:00Z</dcterms:created>
  <dcterms:modified xsi:type="dcterms:W3CDTF">2012-05-01T20:16:00Z</dcterms:modified>
</cp:coreProperties>
</file>