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439" w:rsidRDefault="005F1439" w:rsidP="005F1439">
      <w:pPr>
        <w:pStyle w:val="Heading1"/>
        <w:shd w:val="clear" w:color="auto" w:fill="FFFFFF"/>
        <w:spacing w:before="0" w:after="0"/>
        <w:rPr>
          <w:rFonts w:ascii="Trebuchet MS" w:hAnsi="Trebuchet MS"/>
          <w:b w:val="0"/>
          <w:bCs w:val="0"/>
          <w:color w:val="6191C5"/>
          <w:sz w:val="40"/>
          <w:szCs w:val="40"/>
        </w:rPr>
      </w:pPr>
      <w:r>
        <w:rPr>
          <w:rFonts w:ascii="Trebuchet MS" w:hAnsi="Trebuchet MS"/>
          <w:b w:val="0"/>
          <w:bCs w:val="0"/>
          <w:color w:val="6191C5"/>
          <w:sz w:val="40"/>
          <w:szCs w:val="40"/>
        </w:rPr>
        <w:t>Loose monetary policy and excessive credit and liquidity risk-taking by banks</w:t>
      </w:r>
    </w:p>
    <w:tbl>
      <w:tblPr>
        <w:tblW w:w="5000" w:type="pct"/>
        <w:tblCellMar>
          <w:top w:w="15" w:type="dxa"/>
          <w:left w:w="15" w:type="dxa"/>
          <w:bottom w:w="15" w:type="dxa"/>
          <w:right w:w="15" w:type="dxa"/>
        </w:tblCellMar>
        <w:tblLook w:val="04A0"/>
      </w:tblPr>
      <w:tblGrid>
        <w:gridCol w:w="6892"/>
        <w:gridCol w:w="2298"/>
      </w:tblGrid>
      <w:tr w:rsidR="005F1439" w:rsidTr="005F1439">
        <w:tc>
          <w:tcPr>
            <w:tcW w:w="0" w:type="auto"/>
            <w:tcMar>
              <w:top w:w="60" w:type="dxa"/>
              <w:left w:w="60" w:type="dxa"/>
              <w:bottom w:w="60" w:type="dxa"/>
              <w:right w:w="60" w:type="dxa"/>
            </w:tcMar>
            <w:hideMark/>
          </w:tcPr>
          <w:p w:rsidR="005F1439" w:rsidRDefault="00983503" w:rsidP="005F1439">
            <w:pPr>
              <w:pStyle w:val="NormalWeb"/>
              <w:rPr>
                <w:rFonts w:ascii="Arial" w:hAnsi="Arial" w:cs="Arial"/>
                <w:sz w:val="20"/>
                <w:szCs w:val="20"/>
              </w:rPr>
            </w:pPr>
            <w:hyperlink r:id="rId5" w:history="1">
              <w:r w:rsidR="005F1439">
                <w:rPr>
                  <w:rStyle w:val="Hyperlink"/>
                  <w:sz w:val="20"/>
                  <w:szCs w:val="20"/>
                </w:rPr>
                <w:t>Steven Ongena</w:t>
              </w:r>
            </w:hyperlink>
            <w:r w:rsidR="002F0832">
              <w:t xml:space="preserve">, </w:t>
            </w:r>
            <w:r w:rsidR="005F1439">
              <w:rPr>
                <w:rFonts w:ascii="Arial" w:hAnsi="Arial" w:cs="Arial"/>
                <w:sz w:val="20"/>
                <w:szCs w:val="20"/>
              </w:rPr>
              <w:t xml:space="preserve"> </w:t>
            </w:r>
            <w:hyperlink r:id="rId6" w:history="1">
              <w:r w:rsidR="005F1439">
                <w:rPr>
                  <w:rStyle w:val="Hyperlink"/>
                  <w:sz w:val="20"/>
                  <w:szCs w:val="20"/>
                </w:rPr>
                <w:t>José-Luis Peydró</w:t>
              </w:r>
            </w:hyperlink>
            <w:r w:rsidR="005F1439">
              <w:rPr>
                <w:rFonts w:ascii="Arial" w:hAnsi="Arial" w:cs="Arial"/>
                <w:sz w:val="20"/>
                <w:szCs w:val="20"/>
              </w:rPr>
              <w:br/>
              <w:t>25 October 2011</w:t>
            </w:r>
            <w:r w:rsidR="00CD4917">
              <w:rPr>
                <w:rFonts w:ascii="Arial" w:hAnsi="Arial" w:cs="Arial"/>
                <w:sz w:val="20"/>
                <w:szCs w:val="20"/>
              </w:rPr>
              <w:t>, Vox.EU</w:t>
            </w:r>
          </w:p>
          <w:p w:rsidR="00CD4917" w:rsidRDefault="00CD4917" w:rsidP="005F1439">
            <w:pPr>
              <w:pStyle w:val="NormalWeb"/>
              <w:rPr>
                <w:rFonts w:ascii="Arial" w:hAnsi="Arial" w:cs="Arial"/>
                <w:sz w:val="20"/>
                <w:szCs w:val="20"/>
              </w:rPr>
            </w:pPr>
          </w:p>
        </w:tc>
        <w:tc>
          <w:tcPr>
            <w:tcW w:w="1250" w:type="pct"/>
            <w:tcMar>
              <w:top w:w="60" w:type="dxa"/>
              <w:left w:w="60" w:type="dxa"/>
              <w:bottom w:w="60" w:type="dxa"/>
              <w:right w:w="60" w:type="dxa"/>
            </w:tcMar>
            <w:hideMark/>
          </w:tcPr>
          <w:p w:rsidR="005F1439" w:rsidRDefault="00983503" w:rsidP="005F1439">
            <w:pPr>
              <w:jc w:val="right"/>
              <w:rPr>
                <w:rFonts w:ascii="Arial" w:hAnsi="Arial" w:cs="Arial"/>
                <w:vanish/>
                <w:sz w:val="20"/>
                <w:szCs w:val="20"/>
              </w:rPr>
            </w:pPr>
            <w:hyperlink r:id="rId7" w:history="1">
              <w:r w:rsidR="005F1439">
                <w:rPr>
                  <w:rStyle w:val="Hyperlink"/>
                  <w:b/>
                  <w:bCs/>
                  <w:vanish/>
                  <w:sz w:val="20"/>
                  <w:szCs w:val="20"/>
                </w:rPr>
                <w:t>Print</w:t>
              </w:r>
            </w:hyperlink>
            <w:r w:rsidR="005F1439">
              <w:rPr>
                <w:rFonts w:ascii="Arial" w:hAnsi="Arial" w:cs="Arial"/>
                <w:vanish/>
                <w:sz w:val="20"/>
                <w:szCs w:val="20"/>
              </w:rPr>
              <w:t xml:space="preserve"> </w:t>
            </w:r>
            <w:hyperlink r:id="rId8" w:history="1">
              <w:r w:rsidR="005F1439">
                <w:rPr>
                  <w:rStyle w:val="Hyperlink"/>
                  <w:b/>
                  <w:bCs/>
                  <w:vanish/>
                  <w:sz w:val="20"/>
                  <w:szCs w:val="20"/>
                </w:rPr>
                <w:t>Email</w:t>
              </w:r>
            </w:hyperlink>
            <w:r w:rsidR="005F1439">
              <w:rPr>
                <w:rFonts w:ascii="Arial" w:hAnsi="Arial" w:cs="Arial"/>
                <w:vanish/>
                <w:sz w:val="20"/>
                <w:szCs w:val="20"/>
              </w:rPr>
              <w:br/>
            </w:r>
            <w:hyperlink r:id="rId9" w:anchor="comments" w:history="1">
              <w:r w:rsidR="005F1439">
                <w:rPr>
                  <w:rStyle w:val="Hyperlink"/>
                  <w:b/>
                  <w:bCs/>
                  <w:vanish/>
                  <w:sz w:val="20"/>
                  <w:szCs w:val="20"/>
                </w:rPr>
                <w:t>Comment</w:t>
              </w:r>
            </w:hyperlink>
            <w:r w:rsidR="005F1439">
              <w:rPr>
                <w:rFonts w:ascii="Arial" w:hAnsi="Arial" w:cs="Arial"/>
                <w:vanish/>
                <w:sz w:val="20"/>
                <w:szCs w:val="20"/>
              </w:rPr>
              <w:t xml:space="preserve"> </w:t>
            </w:r>
            <w:hyperlink r:id="rId10" w:tgtFrame="_new" w:history="1">
              <w:r w:rsidR="005F1439">
                <w:rPr>
                  <w:rStyle w:val="Hyperlink"/>
                  <w:b/>
                  <w:bCs/>
                  <w:vanish/>
                  <w:sz w:val="20"/>
                  <w:szCs w:val="20"/>
                </w:rPr>
                <w:t>Republish</w:t>
              </w:r>
            </w:hyperlink>
          </w:p>
        </w:tc>
      </w:tr>
    </w:tbl>
    <w:p w:rsidR="005F1439" w:rsidRDefault="005F1439" w:rsidP="005F1439">
      <w:pPr>
        <w:shd w:val="clear" w:color="auto" w:fill="FFFFFF"/>
        <w:spacing w:line="360" w:lineRule="atLeast"/>
        <w:rPr>
          <w:rFonts w:ascii="Verdana" w:hAnsi="Verdana" w:cs="Arial"/>
          <w:vanish/>
          <w:color w:val="111111"/>
          <w:sz w:val="18"/>
          <w:szCs w:val="18"/>
        </w:rPr>
      </w:pPr>
    </w:p>
    <w:tbl>
      <w:tblPr>
        <w:tblW w:w="5000" w:type="pct"/>
        <w:tblCellMar>
          <w:top w:w="15" w:type="dxa"/>
          <w:left w:w="15" w:type="dxa"/>
          <w:bottom w:w="15" w:type="dxa"/>
          <w:right w:w="15" w:type="dxa"/>
        </w:tblCellMar>
        <w:tblLook w:val="04A0"/>
      </w:tblPr>
      <w:tblGrid>
        <w:gridCol w:w="9190"/>
      </w:tblGrid>
      <w:tr w:rsidR="005F1439" w:rsidTr="005F1439">
        <w:tc>
          <w:tcPr>
            <w:tcW w:w="3950" w:type="pct"/>
            <w:tcMar>
              <w:top w:w="60" w:type="dxa"/>
              <w:left w:w="60" w:type="dxa"/>
              <w:bottom w:w="60" w:type="dxa"/>
              <w:right w:w="60" w:type="dxa"/>
            </w:tcMar>
            <w:hideMark/>
          </w:tcPr>
          <w:p w:rsidR="005F1439" w:rsidRDefault="005F1439" w:rsidP="00596007">
            <w:pPr>
              <w:pStyle w:val="NormalWeb"/>
              <w:divId w:val="1015963112"/>
              <w:rPr>
                <w:rFonts w:ascii="Arial" w:hAnsi="Arial" w:cs="Arial"/>
                <w:i/>
                <w:iCs/>
                <w:sz w:val="20"/>
                <w:szCs w:val="20"/>
              </w:rPr>
            </w:pPr>
            <w:r>
              <w:rPr>
                <w:rFonts w:ascii="Arial" w:hAnsi="Arial" w:cs="Arial"/>
                <w:i/>
                <w:iCs/>
                <w:sz w:val="20"/>
                <w:szCs w:val="20"/>
              </w:rPr>
              <w:t>Do low interest rates encourage excessive risk-taking by banks? This column summarises two studies analysing the impact of short-term interest rates on the risk composition of the supply of credit. They find that lower rates spur greater risk-taking by lower-capitalised banks and greater liquidity risk exposure.</w:t>
            </w:r>
          </w:p>
          <w:p w:rsidR="00596007" w:rsidRDefault="00596007" w:rsidP="00596007">
            <w:pPr>
              <w:pStyle w:val="NormalWeb"/>
              <w:divId w:val="1015963112"/>
              <w:rPr>
                <w:rFonts w:ascii="Arial" w:hAnsi="Arial" w:cs="Arial"/>
                <w:i/>
                <w:iCs/>
                <w:sz w:val="20"/>
                <w:szCs w:val="20"/>
              </w:rPr>
            </w:pPr>
          </w:p>
          <w:p w:rsidR="005F1439" w:rsidRDefault="005F1439" w:rsidP="00596007">
            <w:pPr>
              <w:pStyle w:val="NormalWeb"/>
              <w:jc w:val="both"/>
              <w:rPr>
                <w:rFonts w:ascii="Arial" w:hAnsi="Arial" w:cs="Arial"/>
                <w:sz w:val="20"/>
                <w:szCs w:val="20"/>
              </w:rPr>
            </w:pPr>
            <w:r>
              <w:rPr>
                <w:rFonts w:ascii="Arial" w:hAnsi="Arial" w:cs="Arial"/>
                <w:sz w:val="20"/>
                <w:szCs w:val="20"/>
              </w:rPr>
              <w:t>A question under intense academic and policy debate since the start of the ongoing severe financial crisis is whether a low monetary-policy rate spurs excessive risk-taking by banks. From the start of the crisis in the summer of 2007, market commentators were quick to argue that, during the long period of very low interest rates from 2002 to 2005, banks had softened their lending standards and taken on excessive risk.</w:t>
            </w:r>
          </w:p>
          <w:p w:rsidR="00596007" w:rsidRDefault="00596007" w:rsidP="00596007">
            <w:pPr>
              <w:pStyle w:val="NormalWeb"/>
              <w:jc w:val="both"/>
              <w:rPr>
                <w:rFonts w:ascii="Arial" w:hAnsi="Arial" w:cs="Arial"/>
                <w:sz w:val="20"/>
                <w:szCs w:val="20"/>
              </w:rPr>
            </w:pPr>
          </w:p>
          <w:p w:rsidR="005F1439" w:rsidRDefault="005F1439" w:rsidP="00596007">
            <w:pPr>
              <w:pStyle w:val="NormalWeb"/>
              <w:jc w:val="both"/>
              <w:rPr>
                <w:rFonts w:ascii="Arial" w:hAnsi="Arial" w:cs="Arial"/>
                <w:sz w:val="20"/>
                <w:szCs w:val="20"/>
              </w:rPr>
            </w:pPr>
            <w:r>
              <w:rPr>
                <w:rFonts w:ascii="Arial" w:hAnsi="Arial" w:cs="Arial"/>
                <w:sz w:val="20"/>
                <w:szCs w:val="20"/>
              </w:rPr>
              <w:t>Indeed, nominal rates were the lowest in almost four decades and below Taylor rates in many countries, while real rates were negative (Taylor 2007, Rajan 2010, Reinhart and Rogoff 2010, among others). Expansionary monetary policy and credit risk-taking followed by restrictive monetary policy possibly led to the financial crisis during the 1990s in Japan (Allen and Gale 2004), while lower real interest rates preceded banking crises in 47 countries (von Hagen and Ho 2007). This time the regulatory arbitrage for bank capital associated with the high degree of bank leverage, the widespread use of complex and opaque financial instruments including loan securitization, and the increased interconnectedness among financial intermediaries may have intensified the resultant risk-taking associated with expansive monetary policy (Calomiris 2009, Mian and Sufi 2009, Acharya and Richardson 2010).</w:t>
            </w:r>
          </w:p>
          <w:p w:rsidR="00596007" w:rsidRDefault="00596007" w:rsidP="00596007">
            <w:pPr>
              <w:pStyle w:val="NormalWeb"/>
              <w:jc w:val="both"/>
              <w:rPr>
                <w:rFonts w:ascii="Arial" w:hAnsi="Arial" w:cs="Arial"/>
                <w:sz w:val="20"/>
                <w:szCs w:val="20"/>
              </w:rPr>
            </w:pPr>
          </w:p>
          <w:p w:rsidR="005F1439" w:rsidRDefault="005F1439" w:rsidP="00596007">
            <w:pPr>
              <w:pStyle w:val="NormalWeb"/>
              <w:jc w:val="both"/>
              <w:rPr>
                <w:rFonts w:ascii="Arial" w:hAnsi="Arial" w:cs="Arial"/>
                <w:sz w:val="20"/>
                <w:szCs w:val="20"/>
              </w:rPr>
            </w:pPr>
            <w:r>
              <w:rPr>
                <w:rFonts w:ascii="Arial" w:hAnsi="Arial" w:cs="Arial"/>
                <w:sz w:val="20"/>
                <w:szCs w:val="20"/>
              </w:rPr>
              <w:t>During the crisis,commentators also continuously raised concerns that a zero policy interest rate combined with additional and far-reaching quantitative easing, while alleviating the immediate predicament of many financial market participants, were sowing the seeds for the next credit bubble (Giavazzi and Giovannini 2010).</w:t>
            </w:r>
          </w:p>
          <w:p w:rsidR="00596007" w:rsidRDefault="00596007" w:rsidP="00596007">
            <w:pPr>
              <w:pStyle w:val="NormalWeb"/>
              <w:jc w:val="both"/>
              <w:rPr>
                <w:rFonts w:ascii="Arial" w:hAnsi="Arial" w:cs="Arial"/>
                <w:sz w:val="20"/>
                <w:szCs w:val="20"/>
              </w:rPr>
            </w:pPr>
          </w:p>
          <w:p w:rsidR="005F1439" w:rsidRDefault="005F1439" w:rsidP="00596007">
            <w:pPr>
              <w:pStyle w:val="NormalWeb"/>
              <w:jc w:val="both"/>
              <w:rPr>
                <w:rFonts w:ascii="Arial" w:hAnsi="Arial" w:cs="Arial"/>
                <w:sz w:val="20"/>
                <w:szCs w:val="20"/>
              </w:rPr>
            </w:pPr>
            <w:r>
              <w:rPr>
                <w:rFonts w:ascii="Arial" w:hAnsi="Arial" w:cs="Arial"/>
                <w:sz w:val="20"/>
                <w:szCs w:val="20"/>
              </w:rPr>
              <w:t>Recent theoretical work has modelled how changes in short-term interest rates may affect credit and liquidity risk-taking by financial intermediaries. Banks may take more risk in their lending when monetary policy is expansive and, especially when afflicted by agency problems, banks’ risk-taking can turn excessive.</w:t>
            </w:r>
          </w:p>
          <w:p w:rsidR="00596007" w:rsidRDefault="00596007" w:rsidP="00596007">
            <w:pPr>
              <w:pStyle w:val="NormalWeb"/>
              <w:jc w:val="both"/>
              <w:rPr>
                <w:rFonts w:ascii="Arial" w:hAnsi="Arial" w:cs="Arial"/>
                <w:sz w:val="20"/>
                <w:szCs w:val="20"/>
              </w:rPr>
            </w:pPr>
          </w:p>
          <w:p w:rsidR="005F1439" w:rsidRDefault="005F1439" w:rsidP="00596007">
            <w:pPr>
              <w:pStyle w:val="NormalWeb"/>
              <w:jc w:val="both"/>
              <w:rPr>
                <w:rFonts w:ascii="Arial" w:hAnsi="Arial" w:cs="Arial"/>
                <w:sz w:val="20"/>
                <w:szCs w:val="20"/>
              </w:rPr>
            </w:pPr>
            <w:r>
              <w:rPr>
                <w:rFonts w:ascii="Arial" w:hAnsi="Arial" w:cs="Arial"/>
                <w:sz w:val="20"/>
                <w:szCs w:val="20"/>
              </w:rPr>
              <w:t>Indeed, lower short-term interest rates may reduce the threat of deposit withdrawals, and improve banks’ liquidity and net worth, allowing banks to relax their lending standards and to increase their credit and liquidity risk-taking. Acute agency problems in banks, when their capital is low for example, combined with a reliance on short-term funding, may therefore lead short-term interest rates – more than long-term rates – to spur risk-taking. Finally, low short-term interest rates make riskless assets less attractive and may lead to a search-for-yield by those financial institutions that have short time horizons.</w:t>
            </w:r>
            <w:hyperlink r:id="rId11" w:anchor="fn1" w:history="1">
              <w:r>
                <w:rPr>
                  <w:rStyle w:val="Hyperlink"/>
                  <w:sz w:val="20"/>
                  <w:szCs w:val="20"/>
                  <w:vertAlign w:val="superscript"/>
                </w:rPr>
                <w:t>1</w:t>
              </w:r>
            </w:hyperlink>
          </w:p>
          <w:p w:rsidR="00596007" w:rsidRDefault="00596007" w:rsidP="00596007">
            <w:pPr>
              <w:pStyle w:val="NormalWeb"/>
              <w:jc w:val="both"/>
              <w:rPr>
                <w:rFonts w:ascii="Arial" w:hAnsi="Arial" w:cs="Arial"/>
                <w:sz w:val="20"/>
                <w:szCs w:val="20"/>
              </w:rPr>
            </w:pPr>
          </w:p>
          <w:p w:rsidR="005F1439" w:rsidRDefault="005F1439" w:rsidP="00596007">
            <w:pPr>
              <w:pStyle w:val="NormalWeb"/>
              <w:jc w:val="both"/>
              <w:rPr>
                <w:rFonts w:ascii="Arial" w:hAnsi="Arial" w:cs="Arial"/>
                <w:sz w:val="20"/>
                <w:szCs w:val="20"/>
              </w:rPr>
            </w:pPr>
            <w:r>
              <w:rPr>
                <w:rFonts w:ascii="Arial" w:hAnsi="Arial" w:cs="Arial"/>
                <w:sz w:val="20"/>
                <w:szCs w:val="20"/>
              </w:rPr>
              <w:t>Concurrent with these theoretical developments, recent empirical work has begun to study the impact of monetary policy on credit risk-taking by banks. Recent papers that in essence study the impact of short-term interest rates on the risk composition of the supply of creditfollow a longstanding and wide literature that has analysed its impact on the aggregate volume of credit in the economy, and on the changes in the composition of credit in response to changes in the quality of the pool of borrowers.</w:t>
            </w:r>
            <w:hyperlink r:id="rId12" w:anchor="fn1" w:history="1">
              <w:r>
                <w:rPr>
                  <w:rStyle w:val="Hyperlink"/>
                  <w:sz w:val="20"/>
                  <w:szCs w:val="20"/>
                  <w:vertAlign w:val="superscript"/>
                </w:rPr>
                <w:t>2</w:t>
              </w:r>
            </w:hyperlink>
          </w:p>
          <w:p w:rsidR="005F1439" w:rsidRDefault="005F1439" w:rsidP="00596007">
            <w:pPr>
              <w:pStyle w:val="NormalWeb"/>
              <w:jc w:val="both"/>
              <w:rPr>
                <w:rFonts w:ascii="Arial" w:hAnsi="Arial" w:cs="Arial"/>
                <w:sz w:val="20"/>
                <w:szCs w:val="20"/>
              </w:rPr>
            </w:pPr>
            <w:r>
              <w:rPr>
                <w:rFonts w:ascii="Arial" w:hAnsi="Arial" w:cs="Arial"/>
                <w:sz w:val="20"/>
                <w:szCs w:val="20"/>
              </w:rPr>
              <w:t xml:space="preserve">In Jiménez </w:t>
            </w:r>
            <w:r>
              <w:rPr>
                <w:rStyle w:val="Emphasis"/>
                <w:rFonts w:ascii="Arial" w:hAnsi="Arial" w:cs="Arial"/>
                <w:sz w:val="20"/>
                <w:szCs w:val="20"/>
              </w:rPr>
              <w:t>et al</w:t>
            </w:r>
            <w:r>
              <w:rPr>
                <w:rFonts w:ascii="Arial" w:hAnsi="Arial" w:cs="Arial"/>
                <w:sz w:val="20"/>
                <w:szCs w:val="20"/>
              </w:rPr>
              <w:t xml:space="preserve"> (2011), our co-authors and we use a uniquely comprehensive credit register from Spain that, matched with bank and firm relevant information, contains exhaustive loan (bank-firm) level data on </w:t>
            </w:r>
            <w:r>
              <w:rPr>
                <w:rStyle w:val="Emphasis"/>
                <w:rFonts w:ascii="Arial" w:hAnsi="Arial" w:cs="Arial"/>
                <w:sz w:val="20"/>
                <w:szCs w:val="20"/>
              </w:rPr>
              <w:t>all</w:t>
            </w:r>
            <w:r>
              <w:rPr>
                <w:rFonts w:ascii="Arial" w:hAnsi="Arial" w:cs="Arial"/>
                <w:sz w:val="20"/>
                <w:szCs w:val="20"/>
              </w:rPr>
              <w:t xml:space="preserve"> outstanding business loan contracts at a quarterly frequency since 1984:IV, and loan application information at the bank-firm level at a monthly frequency since 2002:02.</w:t>
            </w:r>
          </w:p>
          <w:p w:rsidR="00596007" w:rsidRDefault="00596007" w:rsidP="00596007">
            <w:pPr>
              <w:pStyle w:val="NormalWeb"/>
              <w:jc w:val="both"/>
              <w:rPr>
                <w:rFonts w:ascii="Arial" w:hAnsi="Arial" w:cs="Arial"/>
                <w:sz w:val="20"/>
                <w:szCs w:val="20"/>
              </w:rPr>
            </w:pPr>
          </w:p>
          <w:p w:rsidR="005F1439" w:rsidRDefault="005F1439" w:rsidP="00596007">
            <w:pPr>
              <w:pStyle w:val="NormalWeb"/>
              <w:jc w:val="both"/>
              <w:rPr>
                <w:rFonts w:ascii="Arial" w:hAnsi="Arial" w:cs="Arial"/>
                <w:sz w:val="20"/>
                <w:szCs w:val="20"/>
              </w:rPr>
            </w:pPr>
            <w:r>
              <w:rPr>
                <w:rFonts w:ascii="Arial" w:hAnsi="Arial" w:cs="Arial"/>
                <w:sz w:val="20"/>
                <w:szCs w:val="20"/>
              </w:rPr>
              <w:t>Our identification strategy consists out of three crucial components:</w:t>
            </w:r>
          </w:p>
          <w:p w:rsidR="005F1439" w:rsidRDefault="005F1439" w:rsidP="00596007">
            <w:pPr>
              <w:pStyle w:val="rteindent1"/>
              <w:ind w:left="0"/>
              <w:jc w:val="both"/>
              <w:rPr>
                <w:rFonts w:ascii="Arial" w:hAnsi="Arial" w:cs="Arial"/>
                <w:sz w:val="20"/>
                <w:szCs w:val="20"/>
              </w:rPr>
            </w:pPr>
            <w:r>
              <w:rPr>
                <w:rFonts w:ascii="Arial" w:hAnsi="Arial" w:cs="Arial"/>
                <w:sz w:val="20"/>
                <w:szCs w:val="20"/>
              </w:rPr>
              <w:t xml:space="preserve">(1) Interacting the overnight interest rate with bank capital (the main theory-based measure of bank </w:t>
            </w:r>
            <w:r>
              <w:rPr>
                <w:rFonts w:ascii="Arial" w:hAnsi="Arial" w:cs="Arial"/>
                <w:sz w:val="20"/>
                <w:szCs w:val="20"/>
              </w:rPr>
              <w:lastRenderedPageBreak/>
              <w:t>agency problems) and a firm credit-risk measure</w:t>
            </w:r>
          </w:p>
          <w:p w:rsidR="005F1439" w:rsidRDefault="005F1439" w:rsidP="00596007">
            <w:pPr>
              <w:pStyle w:val="rteindent1"/>
              <w:ind w:left="0"/>
              <w:jc w:val="both"/>
              <w:rPr>
                <w:rFonts w:ascii="Arial" w:hAnsi="Arial" w:cs="Arial"/>
                <w:sz w:val="20"/>
                <w:szCs w:val="20"/>
              </w:rPr>
            </w:pPr>
            <w:r>
              <w:rPr>
                <w:rFonts w:ascii="Arial" w:hAnsi="Arial" w:cs="Arial"/>
                <w:sz w:val="20"/>
                <w:szCs w:val="20"/>
              </w:rPr>
              <w:t>(2) Accounting fully for both observed and unobserved time-varying bank and firm heterogeneity by saturating the specifications with time*bank and time*firm fixed effects (at a quarterly or monthly frequency), and when possible, also controlling for unobserved heterogeneity in bank-firm matching with bank*firm fixed effects and time-varying bank-firm characteristics (past bank-firm credit volume for example).</w:t>
            </w:r>
          </w:p>
          <w:p w:rsidR="005F1439" w:rsidRDefault="005F1439" w:rsidP="00596007">
            <w:pPr>
              <w:pStyle w:val="rteindent1"/>
              <w:ind w:left="0"/>
              <w:jc w:val="both"/>
              <w:rPr>
                <w:rFonts w:ascii="Arial" w:hAnsi="Arial" w:cs="Arial"/>
                <w:sz w:val="20"/>
                <w:szCs w:val="20"/>
              </w:rPr>
            </w:pPr>
            <w:r>
              <w:rPr>
                <w:rFonts w:ascii="Arial" w:hAnsi="Arial" w:cs="Arial"/>
                <w:sz w:val="20"/>
                <w:szCs w:val="20"/>
              </w:rPr>
              <w:t>(3) Including in all key specifications – and concurrent with the short-term rate – also the ten-year government-bond interest rate, in particular in a triple interaction with bank capital and a firm credit risk measure (as in (2)).</w:t>
            </w:r>
          </w:p>
          <w:p w:rsidR="00596007" w:rsidRDefault="00596007" w:rsidP="00596007">
            <w:pPr>
              <w:pStyle w:val="NormalWeb"/>
              <w:jc w:val="both"/>
              <w:rPr>
                <w:rFonts w:ascii="Arial" w:hAnsi="Arial" w:cs="Arial"/>
                <w:sz w:val="20"/>
                <w:szCs w:val="20"/>
              </w:rPr>
            </w:pPr>
          </w:p>
          <w:p w:rsidR="005F1439" w:rsidRDefault="005F1439" w:rsidP="00596007">
            <w:pPr>
              <w:pStyle w:val="NormalWeb"/>
              <w:jc w:val="both"/>
              <w:rPr>
                <w:rFonts w:ascii="Arial" w:hAnsi="Arial" w:cs="Arial"/>
                <w:sz w:val="20"/>
                <w:szCs w:val="20"/>
              </w:rPr>
            </w:pPr>
            <w:r>
              <w:rPr>
                <w:rFonts w:ascii="Arial" w:hAnsi="Arial" w:cs="Arial"/>
                <w:sz w:val="20"/>
                <w:szCs w:val="20"/>
              </w:rPr>
              <w:t>Spain offers an ideal setting to employ this identification strategy because it has an exhaustive credit register from the banking supervisor, an economic system dominated by banks and, for the last 22 years, a fairly exogenous monetary policy.</w:t>
            </w:r>
          </w:p>
          <w:p w:rsidR="00596007" w:rsidRDefault="00596007" w:rsidP="00596007">
            <w:pPr>
              <w:pStyle w:val="NormalWeb"/>
              <w:jc w:val="both"/>
              <w:rPr>
                <w:rFonts w:ascii="Arial" w:hAnsi="Arial" w:cs="Arial"/>
                <w:sz w:val="20"/>
                <w:szCs w:val="20"/>
              </w:rPr>
            </w:pPr>
          </w:p>
          <w:p w:rsidR="005F1439" w:rsidRDefault="005F1439" w:rsidP="00596007">
            <w:pPr>
              <w:pStyle w:val="NormalWeb"/>
              <w:jc w:val="both"/>
              <w:rPr>
                <w:rFonts w:ascii="Arial" w:hAnsi="Arial" w:cs="Arial"/>
                <w:sz w:val="20"/>
                <w:szCs w:val="20"/>
              </w:rPr>
            </w:pPr>
            <w:r>
              <w:rPr>
                <w:rFonts w:ascii="Arial" w:hAnsi="Arial" w:cs="Arial"/>
                <w:sz w:val="20"/>
                <w:szCs w:val="20"/>
              </w:rPr>
              <w:t>We find the following results for a decrease in the overnight interest rate (even when controlling for changes in the ten-year government-bond interest rate):</w:t>
            </w:r>
          </w:p>
          <w:p w:rsidR="005F1439" w:rsidRDefault="005F1439" w:rsidP="00596007">
            <w:pPr>
              <w:pStyle w:val="rteindent1"/>
              <w:ind w:left="0"/>
              <w:jc w:val="both"/>
              <w:rPr>
                <w:rFonts w:ascii="Arial" w:hAnsi="Arial" w:cs="Arial"/>
                <w:sz w:val="20"/>
                <w:szCs w:val="20"/>
              </w:rPr>
            </w:pPr>
            <w:r>
              <w:rPr>
                <w:rFonts w:ascii="Arial" w:hAnsi="Arial" w:cs="Arial"/>
                <w:sz w:val="20"/>
                <w:szCs w:val="20"/>
              </w:rPr>
              <w:t xml:space="preserve">(1) On the intensive margin, a rate cut induces lowly capitalized banks to expand credit to riskier firms more than highly capitalized banks, where firm credit risk is either measured as having an </w:t>
            </w:r>
            <w:r>
              <w:rPr>
                <w:rFonts w:ascii="Arial" w:hAnsi="Arial" w:cs="Arial"/>
                <w:i/>
                <w:iCs/>
                <w:sz w:val="20"/>
                <w:szCs w:val="20"/>
              </w:rPr>
              <w:t>ex ante</w:t>
            </w:r>
            <w:r>
              <w:rPr>
                <w:rFonts w:ascii="Arial" w:hAnsi="Arial" w:cs="Arial"/>
                <w:sz w:val="20"/>
                <w:szCs w:val="20"/>
              </w:rPr>
              <w:t xml:space="preserve"> bad credit history (</w:t>
            </w:r>
            <w:r>
              <w:rPr>
                <w:rFonts w:ascii="Arial" w:hAnsi="Arial" w:cs="Arial"/>
                <w:i/>
                <w:iCs/>
                <w:sz w:val="20"/>
                <w:szCs w:val="20"/>
              </w:rPr>
              <w:t>ie</w:t>
            </w:r>
            <w:r>
              <w:rPr>
                <w:rFonts w:ascii="Arial" w:hAnsi="Arial" w:cs="Arial"/>
                <w:sz w:val="20"/>
                <w:szCs w:val="20"/>
              </w:rPr>
              <w:t>, past doubtful loans) or as facing future credit defaults.</w:t>
            </w:r>
          </w:p>
          <w:p w:rsidR="005F1439" w:rsidRDefault="005F1439" w:rsidP="00596007">
            <w:pPr>
              <w:pStyle w:val="rteindent1"/>
              <w:ind w:left="0"/>
              <w:jc w:val="both"/>
              <w:rPr>
                <w:rFonts w:ascii="Arial" w:hAnsi="Arial" w:cs="Arial"/>
                <w:sz w:val="20"/>
                <w:szCs w:val="20"/>
              </w:rPr>
            </w:pPr>
            <w:r>
              <w:rPr>
                <w:rFonts w:ascii="Arial" w:hAnsi="Arial" w:cs="Arial"/>
                <w:sz w:val="20"/>
                <w:szCs w:val="20"/>
              </w:rPr>
              <w:t xml:space="preserve">(2) On the extensive margin of ended lending, a rate cut has if anything a similar impact, </w:t>
            </w:r>
            <w:r>
              <w:rPr>
                <w:rFonts w:ascii="Arial" w:hAnsi="Arial" w:cs="Arial"/>
                <w:i/>
                <w:iCs/>
                <w:sz w:val="20"/>
                <w:szCs w:val="20"/>
              </w:rPr>
              <w:t>ie</w:t>
            </w:r>
            <w:r>
              <w:rPr>
                <w:rFonts w:ascii="Arial" w:hAnsi="Arial" w:cs="Arial"/>
                <w:sz w:val="20"/>
                <w:szCs w:val="20"/>
              </w:rPr>
              <w:t>, lowly capitalized banks end credit to riskier firms less often than highly capitalized banks.</w:t>
            </w:r>
          </w:p>
          <w:p w:rsidR="005F1439" w:rsidRDefault="005F1439" w:rsidP="00596007">
            <w:pPr>
              <w:pStyle w:val="rteindent1"/>
              <w:ind w:left="0"/>
              <w:jc w:val="both"/>
              <w:rPr>
                <w:rFonts w:ascii="Arial" w:hAnsi="Arial" w:cs="Arial"/>
                <w:sz w:val="20"/>
                <w:szCs w:val="20"/>
              </w:rPr>
            </w:pPr>
            <w:r>
              <w:rPr>
                <w:rFonts w:ascii="Arial" w:hAnsi="Arial" w:cs="Arial"/>
                <w:sz w:val="20"/>
                <w:szCs w:val="20"/>
              </w:rPr>
              <w:t>(3) On the extensive margin of new lending, a rate cut leads lower-capitalized banks to more likely grant loans to applicants with a worse credit history, and to grant them larger loans or loans with a longer maturity. A decrease in the long-term rate has a much smaller or no such effects on bank risk-taking (on all margins of lending).</w:t>
            </w:r>
          </w:p>
          <w:p w:rsidR="00596007" w:rsidRDefault="00596007" w:rsidP="00596007">
            <w:pPr>
              <w:pStyle w:val="NormalWeb"/>
              <w:jc w:val="both"/>
              <w:rPr>
                <w:rFonts w:ascii="Arial" w:hAnsi="Arial" w:cs="Arial"/>
                <w:sz w:val="20"/>
                <w:szCs w:val="20"/>
              </w:rPr>
            </w:pPr>
          </w:p>
          <w:p w:rsidR="005F1439" w:rsidRDefault="005F1439" w:rsidP="00596007">
            <w:pPr>
              <w:pStyle w:val="NormalWeb"/>
              <w:jc w:val="both"/>
              <w:rPr>
                <w:rFonts w:ascii="Arial" w:hAnsi="Arial" w:cs="Arial"/>
                <w:sz w:val="20"/>
                <w:szCs w:val="20"/>
              </w:rPr>
            </w:pPr>
            <w:r>
              <w:rPr>
                <w:rFonts w:ascii="Arial" w:hAnsi="Arial" w:cs="Arial"/>
                <w:sz w:val="20"/>
                <w:szCs w:val="20"/>
              </w:rPr>
              <w:t xml:space="preserve">Our results in Jiménez </w:t>
            </w:r>
            <w:r>
              <w:rPr>
                <w:rStyle w:val="Emphasis"/>
                <w:rFonts w:ascii="Arial" w:hAnsi="Arial" w:cs="Arial"/>
                <w:sz w:val="20"/>
                <w:szCs w:val="20"/>
              </w:rPr>
              <w:t>et al</w:t>
            </w:r>
            <w:r>
              <w:rPr>
                <w:rFonts w:ascii="Arial" w:hAnsi="Arial" w:cs="Arial"/>
                <w:sz w:val="20"/>
                <w:szCs w:val="20"/>
              </w:rPr>
              <w:t xml:space="preserve"> (2011) suggest that, fully accounting for the credit-demand, firm, and bank balance-sheet channels, monetary policy affects the composition of credit supply. A lower monetary-policy rate spurs bank risk-taking. Suggestive of excessive risk-taking are their findings that risk-taking occurs especially at banks with less capital at stake, </w:t>
            </w:r>
            <w:r>
              <w:rPr>
                <w:rStyle w:val="Emphasis"/>
                <w:rFonts w:ascii="Arial" w:hAnsi="Arial" w:cs="Arial"/>
                <w:sz w:val="20"/>
                <w:szCs w:val="20"/>
              </w:rPr>
              <w:t>ie</w:t>
            </w:r>
            <w:r>
              <w:rPr>
                <w:rFonts w:ascii="Arial" w:hAnsi="Arial" w:cs="Arial"/>
                <w:sz w:val="20"/>
                <w:szCs w:val="20"/>
              </w:rPr>
              <w:t>, those afflicted by agency problems, and that credit risk-taking is combined with vigorous liquidity risk-taking (increase in long-term lending to high credit risk borrowers) even when controlling for a long-term interest rate.</w:t>
            </w:r>
          </w:p>
          <w:p w:rsidR="00596007" w:rsidRDefault="00596007" w:rsidP="00596007">
            <w:pPr>
              <w:pStyle w:val="NormalWeb"/>
              <w:jc w:val="both"/>
              <w:rPr>
                <w:rFonts w:ascii="Arial" w:hAnsi="Arial" w:cs="Arial"/>
                <w:sz w:val="20"/>
                <w:szCs w:val="20"/>
              </w:rPr>
            </w:pPr>
          </w:p>
          <w:p w:rsidR="005F1439" w:rsidRDefault="005F1439" w:rsidP="00596007">
            <w:pPr>
              <w:pStyle w:val="NormalWeb"/>
              <w:jc w:val="both"/>
              <w:rPr>
                <w:rFonts w:ascii="Arial" w:hAnsi="Arial" w:cs="Arial"/>
                <w:sz w:val="20"/>
                <w:szCs w:val="20"/>
              </w:rPr>
            </w:pPr>
            <w:r>
              <w:rPr>
                <w:rFonts w:ascii="Arial" w:hAnsi="Arial" w:cs="Arial"/>
                <w:sz w:val="20"/>
                <w:szCs w:val="20"/>
              </w:rPr>
              <w:t xml:space="preserve">In work with Vasso Ioannidou, we also investigate the impact of monetary policy on the risk-taking by banks (Ioannidou </w:t>
            </w:r>
            <w:r>
              <w:rPr>
                <w:rStyle w:val="Emphasis"/>
                <w:rFonts w:ascii="Arial" w:hAnsi="Arial" w:cs="Arial"/>
                <w:sz w:val="20"/>
                <w:szCs w:val="20"/>
              </w:rPr>
              <w:t>et al</w:t>
            </w:r>
            <w:r>
              <w:rPr>
                <w:rFonts w:ascii="Arial" w:hAnsi="Arial" w:cs="Arial"/>
                <w:sz w:val="20"/>
                <w:szCs w:val="20"/>
              </w:rPr>
              <w:t xml:space="preserve"> 2009). This study focuses on the pricing of the risk banks take in Bolivia (relying on a different and complementary identification strategy to Jiménez, et al 2011 and studying data from a developing country). Examining the credit register from Bolivia from 1999 to 2003, we find that, when the US federal-funds rate decreases, bank credit risk increases while loan spreads drop (the Bolivian economy is largely dollarised and most loans are dollar-denominated making the federal-funds rate the appropriate but exogenously determined monetary-policy rate). The latter result is again suggestive of excessive bank risk-taking following decreases in the monetary-policy rate. Hence, despite using very different methodologies, and credit registers covering different countries, time periods, and monetary policy regimes, both papers find strikingly consistent results.</w:t>
            </w:r>
            <w:hyperlink r:id="rId13" w:anchor="fn1" w:history="1">
              <w:r>
                <w:rPr>
                  <w:rStyle w:val="Hyperlink"/>
                  <w:sz w:val="20"/>
                  <w:szCs w:val="20"/>
                  <w:vertAlign w:val="superscript"/>
                </w:rPr>
                <w:t>3</w:t>
              </w:r>
            </w:hyperlink>
          </w:p>
          <w:p w:rsidR="00596007" w:rsidRDefault="00596007" w:rsidP="00596007">
            <w:pPr>
              <w:pStyle w:val="NormalWeb"/>
              <w:jc w:val="both"/>
              <w:rPr>
                <w:rFonts w:ascii="Arial" w:hAnsi="Arial" w:cs="Arial"/>
                <w:sz w:val="20"/>
                <w:szCs w:val="20"/>
              </w:rPr>
            </w:pPr>
          </w:p>
          <w:p w:rsidR="005F1439" w:rsidRDefault="005F1439" w:rsidP="00596007">
            <w:pPr>
              <w:pStyle w:val="NormalWeb"/>
              <w:jc w:val="both"/>
              <w:rPr>
                <w:rFonts w:ascii="Arial" w:hAnsi="Arial" w:cs="Arial"/>
                <w:sz w:val="20"/>
                <w:szCs w:val="20"/>
              </w:rPr>
            </w:pPr>
            <w:r>
              <w:rPr>
                <w:rFonts w:ascii="Arial" w:hAnsi="Arial" w:cs="Arial"/>
                <w:sz w:val="20"/>
                <w:szCs w:val="20"/>
              </w:rPr>
              <w:t xml:space="preserve">There are a number of natural extensions to these studies. Our focus on the impact of monetary policy on individual loan granting overlooks the correlations between borrower risk and the impact on each individual bank’s portfolio or the correlations between all the banks’ portfolios and the resulting systemic-risk impact of monetary policy. In addition, both studies focus on the effects of monetary policy on the composition of credit supply in only one dimension, </w:t>
            </w:r>
            <w:r>
              <w:rPr>
                <w:rFonts w:ascii="Arial" w:hAnsi="Arial" w:cs="Arial"/>
                <w:i/>
                <w:iCs/>
                <w:sz w:val="20"/>
                <w:szCs w:val="20"/>
              </w:rPr>
              <w:t>ie</w:t>
            </w:r>
            <w:r>
              <w:rPr>
                <w:rFonts w:ascii="Arial" w:hAnsi="Arial" w:cs="Arial"/>
                <w:sz w:val="20"/>
                <w:szCs w:val="20"/>
              </w:rPr>
              <w:t>, firm risk. Industry affiliation or portfolio distribution between mortgages, consumer loans and business loans for example may also change. Given the intensity of agency problems, social costs and externalities in banking, banks’ risk-taking – and other compositional changes of their credit supply for that matter – can be expected to directly impact future financial stability and economic growth. We plan to broach all such extensions in future work.</w:t>
            </w:r>
          </w:p>
          <w:p w:rsidR="00596007" w:rsidRDefault="00596007" w:rsidP="00596007">
            <w:pPr>
              <w:pStyle w:val="NormalWeb"/>
              <w:jc w:val="both"/>
              <w:rPr>
                <w:rFonts w:ascii="Arial" w:hAnsi="Arial" w:cs="Arial"/>
                <w:sz w:val="20"/>
                <w:szCs w:val="20"/>
              </w:rPr>
            </w:pPr>
          </w:p>
          <w:p w:rsidR="005F1439" w:rsidRDefault="005F1439" w:rsidP="00596007">
            <w:pPr>
              <w:pStyle w:val="NormalWeb"/>
              <w:jc w:val="both"/>
              <w:rPr>
                <w:rFonts w:ascii="Arial" w:hAnsi="Arial" w:cs="Arial"/>
                <w:sz w:val="20"/>
                <w:szCs w:val="20"/>
              </w:rPr>
            </w:pPr>
            <w:r>
              <w:rPr>
                <w:rFonts w:ascii="Arial" w:hAnsi="Arial" w:cs="Arial"/>
                <w:b/>
                <w:bCs/>
                <w:sz w:val="20"/>
                <w:szCs w:val="20"/>
              </w:rPr>
              <w:t>References</w:t>
            </w:r>
            <w:r>
              <w:rPr>
                <w:rFonts w:ascii="Arial" w:hAnsi="Arial" w:cs="Arial"/>
                <w:sz w:val="20"/>
                <w:szCs w:val="20"/>
              </w:rPr>
              <w:t xml:space="preserve"> </w:t>
            </w:r>
          </w:p>
          <w:p w:rsidR="005F1439" w:rsidRDefault="005F1439" w:rsidP="00596007">
            <w:pPr>
              <w:pStyle w:val="NormalWeb"/>
              <w:jc w:val="both"/>
              <w:rPr>
                <w:rFonts w:ascii="Arial" w:hAnsi="Arial" w:cs="Arial"/>
                <w:sz w:val="20"/>
                <w:szCs w:val="20"/>
              </w:rPr>
            </w:pPr>
            <w:r>
              <w:rPr>
                <w:rFonts w:ascii="Arial" w:hAnsi="Arial" w:cs="Arial"/>
                <w:sz w:val="20"/>
                <w:szCs w:val="20"/>
              </w:rPr>
              <w:t>Acharya, Viral V and Hassan Naqvi (2010) "The Seeds of a Crisis: A Theory of Bank Liquidity and Risk-Taking over the Business Cycle", mimeo, New York University.</w:t>
            </w:r>
          </w:p>
          <w:p w:rsidR="005F1439" w:rsidRDefault="005F1439" w:rsidP="00596007">
            <w:pPr>
              <w:pStyle w:val="NormalWeb"/>
              <w:jc w:val="both"/>
              <w:rPr>
                <w:rFonts w:ascii="Arial" w:hAnsi="Arial" w:cs="Arial"/>
                <w:sz w:val="20"/>
                <w:szCs w:val="20"/>
              </w:rPr>
            </w:pPr>
            <w:r>
              <w:rPr>
                <w:rFonts w:ascii="Arial" w:hAnsi="Arial" w:cs="Arial"/>
                <w:sz w:val="20"/>
                <w:szCs w:val="20"/>
              </w:rPr>
              <w:t xml:space="preserve">Acharya, Viral V and Matthew Richardson (2010) </w:t>
            </w:r>
            <w:r>
              <w:rPr>
                <w:rStyle w:val="Emphasis"/>
                <w:rFonts w:ascii="Arial" w:hAnsi="Arial" w:cs="Arial"/>
                <w:sz w:val="20"/>
                <w:szCs w:val="20"/>
              </w:rPr>
              <w:t xml:space="preserve">Restoring Financial Stability: How to Repair a Failed System. </w:t>
            </w:r>
            <w:r>
              <w:rPr>
                <w:rFonts w:ascii="Arial" w:hAnsi="Arial" w:cs="Arial"/>
                <w:sz w:val="20"/>
                <w:szCs w:val="20"/>
              </w:rPr>
              <w:t>New York: John Wiley &amp; Sons.</w:t>
            </w:r>
          </w:p>
          <w:p w:rsidR="005F1439" w:rsidRDefault="005F1439" w:rsidP="00596007">
            <w:pPr>
              <w:pStyle w:val="NormalWeb"/>
              <w:jc w:val="both"/>
              <w:rPr>
                <w:rFonts w:ascii="Arial" w:hAnsi="Arial" w:cs="Arial"/>
                <w:sz w:val="20"/>
                <w:szCs w:val="20"/>
              </w:rPr>
            </w:pPr>
            <w:r>
              <w:rPr>
                <w:rFonts w:ascii="Arial" w:hAnsi="Arial" w:cs="Arial"/>
                <w:sz w:val="20"/>
                <w:szCs w:val="20"/>
              </w:rPr>
              <w:lastRenderedPageBreak/>
              <w:t xml:space="preserve">Adrian, Tobias and Hyun Song Shin (2010) "Financial Intermediaries and Monetary Economics", in Friedman, Benjamin M and Michael Woodford (eds), </w:t>
            </w:r>
            <w:r>
              <w:rPr>
                <w:rStyle w:val="Emphasis"/>
                <w:rFonts w:ascii="Arial" w:hAnsi="Arial" w:cs="Arial"/>
                <w:sz w:val="20"/>
                <w:szCs w:val="20"/>
              </w:rPr>
              <w:t>Handbook of Monetary Economics</w:t>
            </w:r>
            <w:r>
              <w:rPr>
                <w:rFonts w:ascii="Arial" w:hAnsi="Arial" w:cs="Arial"/>
                <w:sz w:val="20"/>
                <w:szCs w:val="20"/>
              </w:rPr>
              <w:t>. New York: Elsevier.</w:t>
            </w:r>
          </w:p>
          <w:p w:rsidR="005F1439" w:rsidRDefault="005F1439" w:rsidP="00596007">
            <w:pPr>
              <w:pStyle w:val="NormalWeb"/>
              <w:jc w:val="both"/>
              <w:rPr>
                <w:rFonts w:ascii="Arial" w:hAnsi="Arial" w:cs="Arial"/>
                <w:sz w:val="20"/>
                <w:szCs w:val="20"/>
              </w:rPr>
            </w:pPr>
            <w:r>
              <w:rPr>
                <w:rFonts w:ascii="Arial" w:hAnsi="Arial" w:cs="Arial"/>
                <w:sz w:val="20"/>
                <w:szCs w:val="20"/>
              </w:rPr>
              <w:t xml:space="preserve">Allen, Franklin and Douglas Gale (2004) "Asset Price Bubbles and Monetary Policy", in Desai, Meghnad and Yahia Said (eds), </w:t>
            </w:r>
            <w:r>
              <w:rPr>
                <w:rStyle w:val="Emphasis"/>
                <w:rFonts w:ascii="Arial" w:hAnsi="Arial" w:cs="Arial"/>
                <w:sz w:val="20"/>
                <w:szCs w:val="20"/>
              </w:rPr>
              <w:t>Global Governance and Financial Crises</w:t>
            </w:r>
            <w:r>
              <w:rPr>
                <w:rFonts w:ascii="Arial" w:hAnsi="Arial" w:cs="Arial"/>
                <w:sz w:val="20"/>
                <w:szCs w:val="20"/>
              </w:rPr>
              <w:t>. London: Routledge.</w:t>
            </w:r>
          </w:p>
          <w:p w:rsidR="005F1439" w:rsidRDefault="005F1439" w:rsidP="00596007">
            <w:pPr>
              <w:pStyle w:val="NormalWeb"/>
              <w:jc w:val="both"/>
              <w:rPr>
                <w:rFonts w:ascii="Arial" w:hAnsi="Arial" w:cs="Arial"/>
                <w:sz w:val="20"/>
                <w:szCs w:val="20"/>
              </w:rPr>
            </w:pPr>
            <w:r>
              <w:rPr>
                <w:rFonts w:ascii="Arial" w:hAnsi="Arial" w:cs="Arial"/>
                <w:sz w:val="20"/>
                <w:szCs w:val="20"/>
              </w:rPr>
              <w:t xml:space="preserve">Allen, Franklin and Douglas Gale (2007) </w:t>
            </w:r>
            <w:r>
              <w:rPr>
                <w:rStyle w:val="Emphasis"/>
                <w:rFonts w:ascii="Arial" w:hAnsi="Arial" w:cs="Arial"/>
                <w:sz w:val="20"/>
                <w:szCs w:val="20"/>
              </w:rPr>
              <w:t>Understanding Financial Crises</w:t>
            </w:r>
            <w:r>
              <w:rPr>
                <w:rFonts w:ascii="Arial" w:hAnsi="Arial" w:cs="Arial"/>
                <w:sz w:val="20"/>
                <w:szCs w:val="20"/>
              </w:rPr>
              <w:t>. New York: Oxford University Press.</w:t>
            </w:r>
          </w:p>
          <w:p w:rsidR="005F1439" w:rsidRDefault="005F1439" w:rsidP="00596007">
            <w:pPr>
              <w:pStyle w:val="NormalWeb"/>
              <w:jc w:val="both"/>
              <w:rPr>
                <w:rFonts w:ascii="Arial" w:hAnsi="Arial" w:cs="Arial"/>
                <w:sz w:val="20"/>
                <w:szCs w:val="20"/>
              </w:rPr>
            </w:pPr>
            <w:r>
              <w:rPr>
                <w:rFonts w:ascii="Arial" w:hAnsi="Arial" w:cs="Arial"/>
                <w:sz w:val="20"/>
                <w:szCs w:val="20"/>
              </w:rPr>
              <w:t xml:space="preserve">Bernanke, Ben S and Alan S Blinder (1992) "The Federal Funds Rate and the Channels of Monetary Transmission", </w:t>
            </w:r>
            <w:r>
              <w:rPr>
                <w:rStyle w:val="Emphasis"/>
                <w:rFonts w:ascii="Arial" w:hAnsi="Arial" w:cs="Arial"/>
                <w:sz w:val="20"/>
                <w:szCs w:val="20"/>
              </w:rPr>
              <w:t>American Economic Review</w:t>
            </w:r>
            <w:r>
              <w:rPr>
                <w:rFonts w:ascii="Arial" w:hAnsi="Arial" w:cs="Arial"/>
                <w:sz w:val="20"/>
                <w:szCs w:val="20"/>
              </w:rPr>
              <w:t xml:space="preserve"> 82: 901-921.</w:t>
            </w:r>
          </w:p>
          <w:p w:rsidR="005F1439" w:rsidRDefault="005F1439" w:rsidP="00596007">
            <w:pPr>
              <w:pStyle w:val="NormalWeb"/>
              <w:jc w:val="both"/>
              <w:rPr>
                <w:rFonts w:ascii="Arial" w:hAnsi="Arial" w:cs="Arial"/>
                <w:sz w:val="20"/>
                <w:szCs w:val="20"/>
              </w:rPr>
            </w:pPr>
            <w:r>
              <w:rPr>
                <w:rFonts w:ascii="Arial" w:hAnsi="Arial" w:cs="Arial"/>
                <w:sz w:val="20"/>
                <w:szCs w:val="20"/>
              </w:rPr>
              <w:t xml:space="preserve">Bernanke, Ben S, Mark Gertler, and Simon Gilchrist (1996) "The Financial Accelerator and the Flight to Quality", </w:t>
            </w:r>
            <w:r>
              <w:rPr>
                <w:rStyle w:val="Emphasis"/>
                <w:rFonts w:ascii="Arial" w:hAnsi="Arial" w:cs="Arial"/>
                <w:sz w:val="20"/>
                <w:szCs w:val="20"/>
              </w:rPr>
              <w:t>Review of Economics and Statistics</w:t>
            </w:r>
            <w:r>
              <w:rPr>
                <w:rFonts w:ascii="Arial" w:hAnsi="Arial" w:cs="Arial"/>
                <w:sz w:val="20"/>
                <w:szCs w:val="20"/>
              </w:rPr>
              <w:t xml:space="preserve"> 78: 1-15.</w:t>
            </w:r>
          </w:p>
          <w:p w:rsidR="005F1439" w:rsidRDefault="005F1439" w:rsidP="00596007">
            <w:pPr>
              <w:pStyle w:val="NormalWeb"/>
              <w:jc w:val="both"/>
              <w:rPr>
                <w:rFonts w:ascii="Arial" w:hAnsi="Arial" w:cs="Arial"/>
                <w:sz w:val="20"/>
                <w:szCs w:val="20"/>
              </w:rPr>
            </w:pPr>
            <w:r>
              <w:rPr>
                <w:rFonts w:ascii="Arial" w:hAnsi="Arial" w:cs="Arial"/>
                <w:sz w:val="20"/>
                <w:szCs w:val="20"/>
              </w:rPr>
              <w:t>Blanchard, Olivier (2008) "The State of Macro", Working Paper 14259, National Bureau for Economic Research.</w:t>
            </w:r>
          </w:p>
          <w:p w:rsidR="005F1439" w:rsidRDefault="005F1439" w:rsidP="00596007">
            <w:pPr>
              <w:pStyle w:val="NormalWeb"/>
              <w:jc w:val="both"/>
              <w:rPr>
                <w:rFonts w:ascii="Arial" w:hAnsi="Arial" w:cs="Arial"/>
                <w:sz w:val="20"/>
                <w:szCs w:val="20"/>
              </w:rPr>
            </w:pPr>
            <w:r>
              <w:rPr>
                <w:rFonts w:ascii="Arial" w:hAnsi="Arial" w:cs="Arial"/>
                <w:sz w:val="20"/>
                <w:szCs w:val="20"/>
              </w:rPr>
              <w:t>Borio, Claudio and Haibin Zhu (2008) "Capital Regulation, Risk-Taking and Monetary Policy: A Missing Link in the Transmission Mechanism", Working Paper 268, Bank for International Settlements.</w:t>
            </w:r>
          </w:p>
          <w:p w:rsidR="005F1439" w:rsidRDefault="005F1439" w:rsidP="00596007">
            <w:pPr>
              <w:pStyle w:val="NormalWeb"/>
              <w:jc w:val="both"/>
              <w:rPr>
                <w:rFonts w:ascii="Arial" w:hAnsi="Arial" w:cs="Arial"/>
                <w:sz w:val="20"/>
                <w:szCs w:val="20"/>
              </w:rPr>
            </w:pPr>
            <w:r>
              <w:rPr>
                <w:rFonts w:ascii="Arial" w:hAnsi="Arial" w:cs="Arial"/>
                <w:sz w:val="20"/>
                <w:szCs w:val="20"/>
              </w:rPr>
              <w:t xml:space="preserve">Calomiris, Charles W (2009) "The Subprime Turmoil: What's Old, What's New and What's Next?", </w:t>
            </w:r>
            <w:r>
              <w:rPr>
                <w:rStyle w:val="Emphasis"/>
                <w:rFonts w:ascii="Arial" w:hAnsi="Arial" w:cs="Arial"/>
                <w:sz w:val="20"/>
                <w:szCs w:val="20"/>
              </w:rPr>
              <w:t>Journal of Structured Finance</w:t>
            </w:r>
            <w:r>
              <w:rPr>
                <w:rFonts w:ascii="Arial" w:hAnsi="Arial" w:cs="Arial"/>
                <w:sz w:val="20"/>
                <w:szCs w:val="20"/>
              </w:rPr>
              <w:t xml:space="preserve"> 15: 6-52.</w:t>
            </w:r>
          </w:p>
          <w:p w:rsidR="005F1439" w:rsidRDefault="005F1439" w:rsidP="00596007">
            <w:pPr>
              <w:pStyle w:val="NormalWeb"/>
              <w:jc w:val="both"/>
              <w:rPr>
                <w:rFonts w:ascii="Arial" w:hAnsi="Arial" w:cs="Arial"/>
                <w:sz w:val="20"/>
                <w:szCs w:val="20"/>
              </w:rPr>
            </w:pPr>
            <w:r>
              <w:rPr>
                <w:rFonts w:ascii="Arial" w:hAnsi="Arial" w:cs="Arial"/>
                <w:sz w:val="20"/>
                <w:szCs w:val="20"/>
              </w:rPr>
              <w:t>De Nicolò, Gianni, Giovanni Dell’Ariccia, Luc Laeven, and Fabian Valencia (2010) "Monetary Policy and Bank Risk-Taking," mimeo, International Monetary Fund.</w:t>
            </w:r>
          </w:p>
          <w:p w:rsidR="005F1439" w:rsidRDefault="005F1439" w:rsidP="00596007">
            <w:pPr>
              <w:pStyle w:val="NormalWeb"/>
              <w:jc w:val="both"/>
              <w:rPr>
                <w:rFonts w:ascii="Arial" w:hAnsi="Arial" w:cs="Arial"/>
                <w:sz w:val="20"/>
                <w:szCs w:val="20"/>
              </w:rPr>
            </w:pPr>
            <w:r>
              <w:rPr>
                <w:rFonts w:ascii="Arial" w:hAnsi="Arial" w:cs="Arial"/>
                <w:sz w:val="20"/>
                <w:szCs w:val="20"/>
              </w:rPr>
              <w:t xml:space="preserve">Den Haan, Wouter J, Steven Sumner, and Guy Yamashiro (2007) "Bank Loan Portfolios and the Monetary Transmission Mechanism", </w:t>
            </w:r>
            <w:r>
              <w:rPr>
                <w:rStyle w:val="Emphasis"/>
                <w:rFonts w:ascii="Arial" w:hAnsi="Arial" w:cs="Arial"/>
                <w:sz w:val="20"/>
                <w:szCs w:val="20"/>
              </w:rPr>
              <w:t xml:space="preserve">Journal of Monetary Economics </w:t>
            </w:r>
            <w:r>
              <w:rPr>
                <w:rFonts w:ascii="Arial" w:hAnsi="Arial" w:cs="Arial"/>
                <w:sz w:val="20"/>
                <w:szCs w:val="20"/>
              </w:rPr>
              <w:t>54: 904-924.</w:t>
            </w:r>
          </w:p>
          <w:p w:rsidR="005F1439" w:rsidRDefault="005F1439" w:rsidP="00596007">
            <w:pPr>
              <w:pStyle w:val="NormalWeb"/>
              <w:jc w:val="both"/>
              <w:rPr>
                <w:rFonts w:ascii="Arial" w:hAnsi="Arial" w:cs="Arial"/>
                <w:sz w:val="20"/>
                <w:szCs w:val="20"/>
              </w:rPr>
            </w:pPr>
            <w:r>
              <w:rPr>
                <w:rFonts w:ascii="Arial" w:hAnsi="Arial" w:cs="Arial"/>
                <w:sz w:val="20"/>
                <w:szCs w:val="20"/>
              </w:rPr>
              <w:t xml:space="preserve">Diamond, Douglas W and Raghuram G Rajan (2006) "Money in a Theory of Banking", </w:t>
            </w:r>
            <w:r>
              <w:rPr>
                <w:rStyle w:val="Emphasis"/>
                <w:rFonts w:ascii="Arial" w:hAnsi="Arial" w:cs="Arial"/>
                <w:sz w:val="20"/>
                <w:szCs w:val="20"/>
              </w:rPr>
              <w:t>American Economic Review</w:t>
            </w:r>
            <w:r>
              <w:rPr>
                <w:rFonts w:ascii="Arial" w:hAnsi="Arial" w:cs="Arial"/>
                <w:sz w:val="20"/>
                <w:szCs w:val="20"/>
              </w:rPr>
              <w:t xml:space="preserve"> 96: 30-53.</w:t>
            </w:r>
          </w:p>
          <w:p w:rsidR="005F1439" w:rsidRDefault="005F1439" w:rsidP="00596007">
            <w:pPr>
              <w:pStyle w:val="NormalWeb"/>
              <w:jc w:val="both"/>
              <w:rPr>
                <w:rFonts w:ascii="Arial" w:hAnsi="Arial" w:cs="Arial"/>
                <w:sz w:val="20"/>
                <w:szCs w:val="20"/>
              </w:rPr>
            </w:pPr>
            <w:r>
              <w:rPr>
                <w:rFonts w:ascii="Arial" w:hAnsi="Arial" w:cs="Arial"/>
                <w:sz w:val="20"/>
                <w:szCs w:val="20"/>
              </w:rPr>
              <w:t xml:space="preserve">Diamond, Douglas W and Raghuram G Rajan (forthcoming) "Fear of Fire Sales, Illiquidity Seeking, and Credit Freezes", </w:t>
            </w:r>
            <w:r>
              <w:rPr>
                <w:rStyle w:val="Emphasis"/>
                <w:rFonts w:ascii="Arial" w:hAnsi="Arial" w:cs="Arial"/>
                <w:sz w:val="20"/>
                <w:szCs w:val="20"/>
              </w:rPr>
              <w:t>Quarterly Journal of Economics</w:t>
            </w:r>
            <w:r>
              <w:rPr>
                <w:rFonts w:ascii="Arial" w:hAnsi="Arial" w:cs="Arial"/>
                <w:sz w:val="20"/>
                <w:szCs w:val="20"/>
              </w:rPr>
              <w:t xml:space="preserve"> 126.</w:t>
            </w:r>
          </w:p>
          <w:p w:rsidR="005F1439" w:rsidRDefault="005F1439" w:rsidP="00596007">
            <w:pPr>
              <w:pStyle w:val="NormalWeb"/>
              <w:jc w:val="both"/>
              <w:rPr>
                <w:rFonts w:ascii="Arial" w:hAnsi="Arial" w:cs="Arial"/>
                <w:sz w:val="20"/>
                <w:szCs w:val="20"/>
              </w:rPr>
            </w:pPr>
            <w:r>
              <w:rPr>
                <w:rFonts w:ascii="Arial" w:hAnsi="Arial" w:cs="Arial"/>
                <w:sz w:val="20"/>
                <w:szCs w:val="20"/>
              </w:rPr>
              <w:t>Diamond, Douglas W and Raghuram G Rajan (2011a) "Illiquid Banks, Financial Stability, and Interest Rate Policy", mimeo, Booth School of Business.</w:t>
            </w:r>
          </w:p>
          <w:p w:rsidR="005F1439" w:rsidRDefault="005F1439" w:rsidP="00596007">
            <w:pPr>
              <w:pStyle w:val="NormalWeb"/>
              <w:jc w:val="both"/>
              <w:rPr>
                <w:rFonts w:ascii="Arial" w:hAnsi="Arial" w:cs="Arial"/>
                <w:sz w:val="20"/>
                <w:szCs w:val="20"/>
              </w:rPr>
            </w:pPr>
            <w:r>
              <w:rPr>
                <w:rFonts w:ascii="Arial" w:hAnsi="Arial" w:cs="Arial"/>
                <w:sz w:val="20"/>
                <w:szCs w:val="20"/>
              </w:rPr>
              <w:t>Gennaioli, Nicola, Andrei Shleifer, and Robert Vishny (2011) "A Model of Shadow Banking", mimeo, CREI.</w:t>
            </w:r>
          </w:p>
          <w:p w:rsidR="005F1439" w:rsidRDefault="005F1439" w:rsidP="00596007">
            <w:pPr>
              <w:pStyle w:val="NormalWeb"/>
              <w:jc w:val="both"/>
              <w:rPr>
                <w:rFonts w:ascii="Arial" w:hAnsi="Arial" w:cs="Arial"/>
                <w:sz w:val="20"/>
                <w:szCs w:val="20"/>
              </w:rPr>
            </w:pPr>
            <w:r>
              <w:rPr>
                <w:rFonts w:ascii="Arial" w:hAnsi="Arial" w:cs="Arial"/>
                <w:sz w:val="20"/>
                <w:szCs w:val="20"/>
              </w:rPr>
              <w:t xml:space="preserve">Gertler, Mark and Simon Gilchrist (1994) "Monetary Policy, Business Cycles, and the Behavior of Small Manufacturing Firms", </w:t>
            </w:r>
            <w:r>
              <w:rPr>
                <w:rStyle w:val="Emphasis"/>
                <w:rFonts w:ascii="Arial" w:hAnsi="Arial" w:cs="Arial"/>
                <w:sz w:val="20"/>
                <w:szCs w:val="20"/>
              </w:rPr>
              <w:t>Quarterly Journal of Economics</w:t>
            </w:r>
            <w:r>
              <w:rPr>
                <w:rFonts w:ascii="Arial" w:hAnsi="Arial" w:cs="Arial"/>
                <w:sz w:val="20"/>
                <w:szCs w:val="20"/>
              </w:rPr>
              <w:t xml:space="preserve"> 109: 309-340.</w:t>
            </w:r>
          </w:p>
          <w:p w:rsidR="005F1439" w:rsidRDefault="005F1439" w:rsidP="00596007">
            <w:pPr>
              <w:pStyle w:val="NormalWeb"/>
              <w:jc w:val="both"/>
              <w:rPr>
                <w:rFonts w:ascii="Arial" w:hAnsi="Arial" w:cs="Arial"/>
                <w:sz w:val="20"/>
                <w:szCs w:val="20"/>
              </w:rPr>
            </w:pPr>
            <w:r>
              <w:rPr>
                <w:rFonts w:ascii="Arial" w:hAnsi="Arial" w:cs="Arial"/>
                <w:sz w:val="20"/>
                <w:szCs w:val="20"/>
              </w:rPr>
              <w:t>Giavazzi, Francesco and Alberto Giovannini (2010) "The Low-Interest-Rate Trap", VoxEU.org, 19 June.</w:t>
            </w:r>
          </w:p>
          <w:p w:rsidR="005F1439" w:rsidRDefault="005F1439" w:rsidP="00596007">
            <w:pPr>
              <w:pStyle w:val="NormalWeb"/>
              <w:jc w:val="both"/>
              <w:rPr>
                <w:rFonts w:ascii="Arial" w:hAnsi="Arial" w:cs="Arial"/>
                <w:sz w:val="20"/>
                <w:szCs w:val="20"/>
              </w:rPr>
            </w:pPr>
            <w:r>
              <w:rPr>
                <w:rFonts w:ascii="Arial" w:hAnsi="Arial" w:cs="Arial"/>
                <w:sz w:val="20"/>
                <w:szCs w:val="20"/>
              </w:rPr>
              <w:t>Ioannidou, Vasso P, Steven Ongena, and José-Luis Peydró (2009) "Monetary Policy, Risk-Taking and Pricing: Evidence from a Quasi-Natural Experiment", mimeo, CentER - Tilburg University/European Central Bank.</w:t>
            </w:r>
          </w:p>
          <w:p w:rsidR="005F1439" w:rsidRDefault="005F1439" w:rsidP="00596007">
            <w:pPr>
              <w:pStyle w:val="NormalWeb"/>
              <w:jc w:val="both"/>
              <w:rPr>
                <w:rFonts w:ascii="Arial" w:hAnsi="Arial" w:cs="Arial"/>
                <w:sz w:val="20"/>
                <w:szCs w:val="20"/>
              </w:rPr>
            </w:pPr>
            <w:r>
              <w:rPr>
                <w:rFonts w:ascii="Arial" w:hAnsi="Arial" w:cs="Arial"/>
                <w:sz w:val="20"/>
                <w:szCs w:val="20"/>
              </w:rPr>
              <w:t xml:space="preserve">Jiménez, Gabriel, Steven Ongena, José-Luis Peydró, and Jesús Saurina (forthcoming) "Credit Supply and Monetary Policy: Identifying the Bank Balance-Sheet Channel with Loan Applications", </w:t>
            </w:r>
            <w:r>
              <w:rPr>
                <w:rStyle w:val="Emphasis"/>
                <w:rFonts w:ascii="Arial" w:hAnsi="Arial" w:cs="Arial"/>
                <w:sz w:val="20"/>
                <w:szCs w:val="20"/>
              </w:rPr>
              <w:t>American Economic Review</w:t>
            </w:r>
            <w:r>
              <w:rPr>
                <w:rFonts w:ascii="Arial" w:hAnsi="Arial" w:cs="Arial"/>
                <w:sz w:val="20"/>
                <w:szCs w:val="20"/>
              </w:rPr>
              <w:t>.</w:t>
            </w:r>
          </w:p>
          <w:p w:rsidR="005F1439" w:rsidRDefault="005F1439" w:rsidP="00596007">
            <w:pPr>
              <w:pStyle w:val="NormalWeb"/>
              <w:jc w:val="both"/>
              <w:rPr>
                <w:rFonts w:ascii="Arial" w:hAnsi="Arial" w:cs="Arial"/>
                <w:sz w:val="20"/>
                <w:szCs w:val="20"/>
              </w:rPr>
            </w:pPr>
            <w:r>
              <w:rPr>
                <w:rFonts w:ascii="Arial" w:hAnsi="Arial" w:cs="Arial"/>
                <w:sz w:val="20"/>
                <w:szCs w:val="20"/>
              </w:rPr>
              <w:t>Jiménez, Gabriel, Steven Ongena, José-Luis Peydró, and Jesús Saurina, (2011), "Hazardous Times for Monetary Policy: What Do Twenty-Three Million Bank Loans Say about the Effects of Monetary Policy on Credit Risk-Taking?", mimeo, Bank of Spain.</w:t>
            </w:r>
          </w:p>
          <w:p w:rsidR="005F1439" w:rsidRDefault="005F1439" w:rsidP="00596007">
            <w:pPr>
              <w:pStyle w:val="NormalWeb"/>
              <w:jc w:val="both"/>
              <w:rPr>
                <w:rFonts w:ascii="Arial" w:hAnsi="Arial" w:cs="Arial"/>
                <w:sz w:val="20"/>
                <w:szCs w:val="20"/>
              </w:rPr>
            </w:pPr>
            <w:r>
              <w:rPr>
                <w:rFonts w:ascii="Arial" w:hAnsi="Arial" w:cs="Arial"/>
                <w:sz w:val="20"/>
                <w:szCs w:val="20"/>
              </w:rPr>
              <w:t xml:space="preserve">Kashyap, Anil K and Jeremy C Stein (2000) "What Do A Million Observations on Banks Say About the Transmission of Monetary Policy?", </w:t>
            </w:r>
            <w:r>
              <w:rPr>
                <w:rStyle w:val="Emphasis"/>
                <w:rFonts w:ascii="Arial" w:hAnsi="Arial" w:cs="Arial"/>
                <w:sz w:val="20"/>
                <w:szCs w:val="20"/>
              </w:rPr>
              <w:t xml:space="preserve">American Economic Review </w:t>
            </w:r>
            <w:r>
              <w:rPr>
                <w:rFonts w:ascii="Arial" w:hAnsi="Arial" w:cs="Arial"/>
                <w:sz w:val="20"/>
                <w:szCs w:val="20"/>
              </w:rPr>
              <w:t>90: 407-428.</w:t>
            </w:r>
          </w:p>
          <w:p w:rsidR="005F1439" w:rsidRDefault="005F1439" w:rsidP="00596007">
            <w:pPr>
              <w:pStyle w:val="NormalWeb"/>
              <w:jc w:val="both"/>
              <w:rPr>
                <w:rFonts w:ascii="Arial" w:hAnsi="Arial" w:cs="Arial"/>
                <w:sz w:val="20"/>
                <w:szCs w:val="20"/>
              </w:rPr>
            </w:pPr>
            <w:r>
              <w:rPr>
                <w:rFonts w:ascii="Arial" w:hAnsi="Arial" w:cs="Arial"/>
                <w:sz w:val="20"/>
                <w:szCs w:val="20"/>
              </w:rPr>
              <w:t xml:space="preserve">Maddaloni, Angela and Jose-Luis Peydró (2011) "Bank Risk-taking, Securitization, Supervision, and Low Interest Rates: Evidence from Euro-area and US Lending Standards", </w:t>
            </w:r>
            <w:r>
              <w:rPr>
                <w:rStyle w:val="Emphasis"/>
                <w:rFonts w:ascii="Arial" w:hAnsi="Arial" w:cs="Arial"/>
                <w:sz w:val="20"/>
                <w:szCs w:val="20"/>
              </w:rPr>
              <w:t xml:space="preserve">Review of Financial Studies </w:t>
            </w:r>
            <w:r>
              <w:rPr>
                <w:rFonts w:ascii="Arial" w:hAnsi="Arial" w:cs="Arial"/>
                <w:sz w:val="20"/>
                <w:szCs w:val="20"/>
              </w:rPr>
              <w:t>24: 2121-2165.</w:t>
            </w:r>
          </w:p>
          <w:p w:rsidR="005F1439" w:rsidRDefault="005F1439" w:rsidP="00596007">
            <w:pPr>
              <w:pStyle w:val="NormalWeb"/>
              <w:jc w:val="both"/>
              <w:rPr>
                <w:rFonts w:ascii="Arial" w:hAnsi="Arial" w:cs="Arial"/>
                <w:sz w:val="20"/>
                <w:szCs w:val="20"/>
              </w:rPr>
            </w:pPr>
            <w:r>
              <w:rPr>
                <w:rFonts w:ascii="Arial" w:hAnsi="Arial" w:cs="Arial"/>
                <w:sz w:val="20"/>
                <w:szCs w:val="20"/>
              </w:rPr>
              <w:t xml:space="preserve">Mian, Atif and Amir Sufi (2009) "The Consequences of Mortgage Credit Expansion: Evidence from the US Mortgage Default Crisis", </w:t>
            </w:r>
            <w:r>
              <w:rPr>
                <w:rStyle w:val="Emphasis"/>
                <w:rFonts w:ascii="Arial" w:hAnsi="Arial" w:cs="Arial"/>
                <w:sz w:val="20"/>
                <w:szCs w:val="20"/>
              </w:rPr>
              <w:t>Quarterly Journal of Economics</w:t>
            </w:r>
            <w:r>
              <w:rPr>
                <w:rFonts w:ascii="Arial" w:hAnsi="Arial" w:cs="Arial"/>
                <w:sz w:val="20"/>
                <w:szCs w:val="20"/>
              </w:rPr>
              <w:t xml:space="preserve"> 124: 1449-1496.</w:t>
            </w:r>
          </w:p>
          <w:p w:rsidR="005F1439" w:rsidRDefault="005F1439" w:rsidP="00596007">
            <w:pPr>
              <w:pStyle w:val="NormalWeb"/>
              <w:jc w:val="both"/>
              <w:rPr>
                <w:rFonts w:ascii="Arial" w:hAnsi="Arial" w:cs="Arial"/>
                <w:sz w:val="20"/>
                <w:szCs w:val="20"/>
              </w:rPr>
            </w:pPr>
            <w:r>
              <w:rPr>
                <w:rFonts w:ascii="Arial" w:hAnsi="Arial" w:cs="Arial"/>
                <w:sz w:val="20"/>
                <w:szCs w:val="20"/>
              </w:rPr>
              <w:t xml:space="preserve">Rajan, Raghuram G (2006) "Has Finance Made the World Riskier?", </w:t>
            </w:r>
            <w:r>
              <w:rPr>
                <w:rStyle w:val="Emphasis"/>
                <w:rFonts w:ascii="Arial" w:hAnsi="Arial" w:cs="Arial"/>
                <w:sz w:val="20"/>
                <w:szCs w:val="20"/>
              </w:rPr>
              <w:t xml:space="preserve">European Financial Management </w:t>
            </w:r>
            <w:r>
              <w:rPr>
                <w:rFonts w:ascii="Arial" w:hAnsi="Arial" w:cs="Arial"/>
                <w:sz w:val="20"/>
                <w:szCs w:val="20"/>
              </w:rPr>
              <w:t>12: 499-533.</w:t>
            </w:r>
          </w:p>
          <w:p w:rsidR="005F1439" w:rsidRDefault="005F1439" w:rsidP="00596007">
            <w:pPr>
              <w:pStyle w:val="NormalWeb"/>
              <w:jc w:val="both"/>
              <w:rPr>
                <w:rFonts w:ascii="Arial" w:hAnsi="Arial" w:cs="Arial"/>
                <w:sz w:val="20"/>
                <w:szCs w:val="20"/>
              </w:rPr>
            </w:pPr>
            <w:r>
              <w:rPr>
                <w:rFonts w:ascii="Arial" w:hAnsi="Arial" w:cs="Arial"/>
                <w:sz w:val="20"/>
                <w:szCs w:val="20"/>
              </w:rPr>
              <w:t xml:space="preserve">Rajan, Raghuram G (2010) </w:t>
            </w:r>
            <w:r>
              <w:rPr>
                <w:rStyle w:val="Emphasis"/>
                <w:rFonts w:ascii="Arial" w:hAnsi="Arial" w:cs="Arial"/>
                <w:sz w:val="20"/>
                <w:szCs w:val="20"/>
              </w:rPr>
              <w:t>Fault Lines</w:t>
            </w:r>
            <w:r>
              <w:rPr>
                <w:rFonts w:ascii="Arial" w:hAnsi="Arial" w:cs="Arial"/>
                <w:sz w:val="20"/>
                <w:szCs w:val="20"/>
              </w:rPr>
              <w:t>. Princeton NJ: Princeton University Press.</w:t>
            </w:r>
          </w:p>
          <w:p w:rsidR="005F1439" w:rsidRDefault="005F1439" w:rsidP="00596007">
            <w:pPr>
              <w:pStyle w:val="NormalWeb"/>
              <w:jc w:val="both"/>
              <w:rPr>
                <w:rFonts w:ascii="Arial" w:hAnsi="Arial" w:cs="Arial"/>
                <w:sz w:val="20"/>
                <w:szCs w:val="20"/>
              </w:rPr>
            </w:pPr>
            <w:r>
              <w:rPr>
                <w:rFonts w:ascii="Arial" w:hAnsi="Arial" w:cs="Arial"/>
                <w:sz w:val="20"/>
                <w:szCs w:val="20"/>
              </w:rPr>
              <w:t xml:space="preserve">Reinhart, Carmen M and Kenneth S Rogoff (2010) </w:t>
            </w:r>
            <w:r>
              <w:rPr>
                <w:rStyle w:val="Emphasis"/>
                <w:rFonts w:ascii="Arial" w:hAnsi="Arial" w:cs="Arial"/>
                <w:sz w:val="20"/>
                <w:szCs w:val="20"/>
              </w:rPr>
              <w:t>This Time is Different: Eight Centuries of Financial Folly</w:t>
            </w:r>
            <w:r>
              <w:rPr>
                <w:rFonts w:ascii="Arial" w:hAnsi="Arial" w:cs="Arial"/>
                <w:sz w:val="20"/>
                <w:szCs w:val="20"/>
              </w:rPr>
              <w:t>. Princeton NJ: Princeton University Press.</w:t>
            </w:r>
          </w:p>
          <w:p w:rsidR="005F1439" w:rsidRDefault="005F1439" w:rsidP="00596007">
            <w:pPr>
              <w:pStyle w:val="NormalWeb"/>
              <w:jc w:val="both"/>
              <w:rPr>
                <w:rFonts w:ascii="Arial" w:hAnsi="Arial" w:cs="Arial"/>
                <w:sz w:val="20"/>
                <w:szCs w:val="20"/>
              </w:rPr>
            </w:pPr>
            <w:r>
              <w:rPr>
                <w:rFonts w:ascii="Arial" w:hAnsi="Arial" w:cs="Arial"/>
                <w:sz w:val="20"/>
                <w:szCs w:val="20"/>
              </w:rPr>
              <w:t xml:space="preserve">Stiglitz, Joseph E and Bruce Greenwald (2003) </w:t>
            </w:r>
            <w:r>
              <w:rPr>
                <w:rStyle w:val="Emphasis"/>
                <w:rFonts w:ascii="Arial" w:hAnsi="Arial" w:cs="Arial"/>
                <w:sz w:val="20"/>
                <w:szCs w:val="20"/>
              </w:rPr>
              <w:t>Towards a New Paradigm in Monetary Economics</w:t>
            </w:r>
            <w:r>
              <w:rPr>
                <w:rFonts w:ascii="Arial" w:hAnsi="Arial" w:cs="Arial"/>
                <w:sz w:val="20"/>
                <w:szCs w:val="20"/>
              </w:rPr>
              <w:t>. Cambridge: Cambridge University Press.</w:t>
            </w:r>
          </w:p>
          <w:p w:rsidR="005F1439" w:rsidRDefault="005F1439" w:rsidP="00596007">
            <w:pPr>
              <w:pStyle w:val="NormalWeb"/>
              <w:jc w:val="both"/>
              <w:rPr>
                <w:rFonts w:ascii="Arial" w:hAnsi="Arial" w:cs="Arial"/>
                <w:sz w:val="20"/>
                <w:szCs w:val="20"/>
              </w:rPr>
            </w:pPr>
            <w:r>
              <w:rPr>
                <w:rFonts w:ascii="Arial" w:hAnsi="Arial" w:cs="Arial"/>
                <w:sz w:val="20"/>
                <w:szCs w:val="20"/>
              </w:rPr>
              <w:t>Taylor, John (2007) "Housing and Monetary Policy", paper presented at a symposium sponsored by the Federal Reserve Bank of Kansas City at Jackson Hole WY, Federal Reserve Bank of Kansas City.</w:t>
            </w:r>
          </w:p>
          <w:p w:rsidR="005F1439" w:rsidRDefault="005F1439" w:rsidP="00596007">
            <w:pPr>
              <w:pStyle w:val="NormalWeb"/>
              <w:jc w:val="both"/>
              <w:rPr>
                <w:rFonts w:ascii="Arial" w:hAnsi="Arial" w:cs="Arial"/>
                <w:sz w:val="20"/>
                <w:szCs w:val="20"/>
              </w:rPr>
            </w:pPr>
            <w:r>
              <w:rPr>
                <w:rFonts w:ascii="Arial" w:hAnsi="Arial" w:cs="Arial"/>
                <w:sz w:val="20"/>
                <w:szCs w:val="20"/>
              </w:rPr>
              <w:t xml:space="preserve">von Hagen, Jürgen and Tai-Kuang Ho (2007) "Money Market Pressure and the Determinants of Banking Crises", </w:t>
            </w:r>
            <w:r>
              <w:rPr>
                <w:rStyle w:val="Emphasis"/>
                <w:rFonts w:ascii="Arial" w:hAnsi="Arial" w:cs="Arial"/>
                <w:sz w:val="20"/>
                <w:szCs w:val="20"/>
              </w:rPr>
              <w:t xml:space="preserve">Journal of Money, Credit and Banking </w:t>
            </w:r>
            <w:r>
              <w:rPr>
                <w:rFonts w:ascii="Arial" w:hAnsi="Arial" w:cs="Arial"/>
                <w:sz w:val="20"/>
                <w:szCs w:val="20"/>
              </w:rPr>
              <w:t>39: 1037-1066.</w:t>
            </w:r>
          </w:p>
          <w:p w:rsidR="005F1439" w:rsidRDefault="00983503" w:rsidP="00596007">
            <w:pPr>
              <w:spacing w:after="0" w:line="240" w:lineRule="auto"/>
              <w:jc w:val="both"/>
              <w:rPr>
                <w:rFonts w:ascii="Arial" w:hAnsi="Arial" w:cs="Arial"/>
                <w:sz w:val="20"/>
                <w:szCs w:val="20"/>
              </w:rPr>
            </w:pPr>
            <w:r w:rsidRPr="00983503">
              <w:rPr>
                <w:rFonts w:ascii="Arial" w:hAnsi="Arial" w:cs="Arial"/>
                <w:sz w:val="20"/>
                <w:szCs w:val="20"/>
              </w:rPr>
              <w:lastRenderedPageBreak/>
              <w:pict>
                <v:rect id="_x0000_i1025" style="width:0;height:.75pt" o:hralign="center" o:hrstd="t" o:hr="t" fillcolor="#a0a0a0" stroked="f"/>
              </w:pict>
            </w:r>
          </w:p>
          <w:p w:rsidR="005F1439" w:rsidRDefault="005F1439" w:rsidP="00596007">
            <w:pPr>
              <w:pStyle w:val="NormalWeb"/>
              <w:jc w:val="both"/>
              <w:rPr>
                <w:rFonts w:ascii="Arial" w:hAnsi="Arial" w:cs="Arial"/>
                <w:sz w:val="20"/>
                <w:szCs w:val="20"/>
              </w:rPr>
            </w:pPr>
            <w:bookmarkStart w:id="0" w:name="fn1"/>
            <w:r>
              <w:rPr>
                <w:rFonts w:ascii="Arial" w:hAnsi="Arial" w:cs="Arial"/>
                <w:color w:val="2763A5"/>
                <w:sz w:val="20"/>
                <w:szCs w:val="20"/>
                <w:vertAlign w:val="superscript"/>
              </w:rPr>
              <w:t>1</w:t>
            </w:r>
            <w:bookmarkEnd w:id="0"/>
            <w:r>
              <w:rPr>
                <w:rFonts w:ascii="Arial" w:hAnsi="Arial" w:cs="Arial"/>
                <w:sz w:val="20"/>
                <w:szCs w:val="20"/>
              </w:rPr>
              <w:t xml:space="preserve"> See Stiglitz and Greenwald (2003), Diamond and Rajan (2006), Rajan (2006), Allen and Gale (2007), Blanchard (2008), Borio and Zhu (2008), Acharya and Naqvi (2010), Adrian and Shin (2010), Diamond and Rajan (2011), Diamond and Rajan (forthcoming), and Gennaioli </w:t>
            </w:r>
            <w:r>
              <w:rPr>
                <w:rStyle w:val="Emphasis"/>
                <w:rFonts w:ascii="Arial" w:hAnsi="Arial" w:cs="Arial"/>
                <w:sz w:val="20"/>
                <w:szCs w:val="20"/>
              </w:rPr>
              <w:t>et al</w:t>
            </w:r>
            <w:r>
              <w:rPr>
                <w:rFonts w:ascii="Arial" w:hAnsi="Arial" w:cs="Arial"/>
                <w:sz w:val="20"/>
                <w:szCs w:val="20"/>
              </w:rPr>
              <w:t xml:space="preserve"> (2011).</w:t>
            </w:r>
            <w:r>
              <w:rPr>
                <w:rFonts w:ascii="Arial" w:hAnsi="Arial" w:cs="Arial"/>
                <w:sz w:val="20"/>
                <w:szCs w:val="20"/>
              </w:rPr>
              <w:br/>
            </w:r>
            <w:r>
              <w:rPr>
                <w:rFonts w:ascii="Arial" w:hAnsi="Arial" w:cs="Arial"/>
                <w:sz w:val="20"/>
                <w:szCs w:val="20"/>
                <w:vertAlign w:val="superscript"/>
              </w:rPr>
              <w:t>2</w:t>
            </w:r>
            <w:r>
              <w:rPr>
                <w:rFonts w:ascii="Arial" w:hAnsi="Arial" w:cs="Arial"/>
                <w:sz w:val="20"/>
                <w:szCs w:val="20"/>
              </w:rPr>
              <w:t xml:space="preserve"> See Bernanke and Blinder (1992), Gertler and Gilchrist (1994), Bernanke </w:t>
            </w:r>
            <w:r>
              <w:rPr>
                <w:rStyle w:val="Emphasis"/>
                <w:rFonts w:ascii="Arial" w:hAnsi="Arial" w:cs="Arial"/>
                <w:sz w:val="20"/>
                <w:szCs w:val="20"/>
              </w:rPr>
              <w:t>et al</w:t>
            </w:r>
            <w:r>
              <w:rPr>
                <w:rFonts w:ascii="Arial" w:hAnsi="Arial" w:cs="Arial"/>
                <w:sz w:val="20"/>
                <w:szCs w:val="20"/>
              </w:rPr>
              <w:t xml:space="preserve"> (1996), Kashyap and Stein (2000), and Jiménez </w:t>
            </w:r>
            <w:r>
              <w:rPr>
                <w:rStyle w:val="Emphasis"/>
                <w:rFonts w:ascii="Arial" w:hAnsi="Arial" w:cs="Arial"/>
                <w:sz w:val="20"/>
                <w:szCs w:val="20"/>
              </w:rPr>
              <w:t>et al</w:t>
            </w:r>
            <w:r>
              <w:rPr>
                <w:rFonts w:ascii="Arial" w:hAnsi="Arial" w:cs="Arial"/>
                <w:sz w:val="20"/>
                <w:szCs w:val="20"/>
              </w:rPr>
              <w:t xml:space="preserve"> (forthcoming).</w:t>
            </w:r>
            <w:r>
              <w:rPr>
                <w:rFonts w:ascii="Arial" w:hAnsi="Arial" w:cs="Arial"/>
                <w:sz w:val="20"/>
                <w:szCs w:val="20"/>
              </w:rPr>
              <w:br/>
            </w:r>
            <w:r>
              <w:rPr>
                <w:rFonts w:ascii="Arial" w:hAnsi="Arial" w:cs="Arial"/>
                <w:sz w:val="20"/>
                <w:szCs w:val="20"/>
                <w:vertAlign w:val="superscript"/>
              </w:rPr>
              <w:t>3</w:t>
            </w:r>
            <w:r>
              <w:rPr>
                <w:rFonts w:ascii="Arial" w:hAnsi="Arial" w:cs="Arial"/>
                <w:sz w:val="20"/>
                <w:szCs w:val="20"/>
              </w:rPr>
              <w:t xml:space="preserve"> See also Gertler and Gilchrist (1994), Den Haan et al (2007), Adrian and Shin (2010), De Nicolò et al (2010), and Maddaloni and Peydró (2011).</w:t>
            </w:r>
          </w:p>
          <w:p w:rsidR="00596007" w:rsidRDefault="00596007" w:rsidP="00596007">
            <w:pPr>
              <w:pStyle w:val="NormalWeb"/>
              <w:jc w:val="both"/>
              <w:rPr>
                <w:rFonts w:ascii="Arial" w:hAnsi="Arial" w:cs="Arial"/>
                <w:sz w:val="20"/>
                <w:szCs w:val="20"/>
              </w:rPr>
            </w:pPr>
          </w:p>
        </w:tc>
      </w:tr>
    </w:tbl>
    <w:p w:rsidR="0015316A" w:rsidRDefault="0015316A" w:rsidP="0015316A">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lastRenderedPageBreak/>
        <w:t xml:space="preserve">Comments (0) | </w:t>
      </w:r>
      <w:hyperlink r:id="rId14" w:anchor="comment-form" w:history="1">
        <w:r>
          <w:rPr>
            <w:rFonts w:ascii="Verdana" w:hAnsi="Verdana" w:cs="Arial"/>
            <w:vanish/>
            <w:color w:val="2763A5"/>
            <w:sz w:val="18"/>
            <w:szCs w:val="18"/>
          </w:rPr>
          <w:t>Login to post comments</w:t>
        </w:r>
      </w:hyperlink>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15"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16" w:history="1">
        <w:r>
          <w:rPr>
            <w:rFonts w:ascii="Verdana" w:hAnsi="Verdana" w:cs="Arial"/>
            <w:b/>
            <w:bCs/>
            <w:vanish/>
            <w:color w:val="FFFFFF"/>
            <w:sz w:val="17"/>
            <w:szCs w:val="17"/>
          </w:rPr>
          <w:t>Contact</w:t>
        </w:r>
      </w:hyperlink>
    </w:p>
    <w:p w:rsidR="00F90C1F" w:rsidRDefault="00F90C1F" w:rsidP="00F90C1F">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17" w:anchor="comment-form" w:history="1">
        <w:r>
          <w:rPr>
            <w:rFonts w:ascii="Verdana" w:hAnsi="Verdana" w:cs="Arial"/>
            <w:vanish/>
            <w:color w:val="2763A5"/>
            <w:sz w:val="18"/>
            <w:szCs w:val="18"/>
          </w:rPr>
          <w:t>Login to post comments</w:t>
        </w:r>
      </w:hyperlink>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18"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19" w:history="1">
        <w:r>
          <w:rPr>
            <w:rFonts w:ascii="Verdana" w:hAnsi="Verdana" w:cs="Arial"/>
            <w:b/>
            <w:bCs/>
            <w:vanish/>
            <w:color w:val="FFFFFF"/>
            <w:sz w:val="17"/>
            <w:szCs w:val="17"/>
          </w:rPr>
          <w:t>Contact</w:t>
        </w:r>
      </w:hyperlink>
    </w:p>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566F"/>
    <w:multiLevelType w:val="multilevel"/>
    <w:tmpl w:val="4D0C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41A0F"/>
    <w:multiLevelType w:val="multilevel"/>
    <w:tmpl w:val="DB36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55514"/>
    <w:multiLevelType w:val="multilevel"/>
    <w:tmpl w:val="740E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55842"/>
    <w:multiLevelType w:val="multilevel"/>
    <w:tmpl w:val="5B0E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D6B28"/>
    <w:multiLevelType w:val="multilevel"/>
    <w:tmpl w:val="3D0C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A02D59"/>
    <w:multiLevelType w:val="multilevel"/>
    <w:tmpl w:val="EEBA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C65F2C"/>
    <w:multiLevelType w:val="multilevel"/>
    <w:tmpl w:val="A824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DC1A1D"/>
    <w:multiLevelType w:val="multilevel"/>
    <w:tmpl w:val="E5FE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D61826"/>
    <w:multiLevelType w:val="multilevel"/>
    <w:tmpl w:val="4130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A64AFE"/>
    <w:multiLevelType w:val="multilevel"/>
    <w:tmpl w:val="5AB4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B929BB"/>
    <w:multiLevelType w:val="multilevel"/>
    <w:tmpl w:val="58AA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6E1A8E"/>
    <w:multiLevelType w:val="multilevel"/>
    <w:tmpl w:val="C8F88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EF2E02"/>
    <w:multiLevelType w:val="multilevel"/>
    <w:tmpl w:val="83BC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2A7D40"/>
    <w:multiLevelType w:val="multilevel"/>
    <w:tmpl w:val="B252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5819EB"/>
    <w:multiLevelType w:val="multilevel"/>
    <w:tmpl w:val="E99C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872EA7"/>
    <w:multiLevelType w:val="multilevel"/>
    <w:tmpl w:val="ED14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DD5ABA"/>
    <w:multiLevelType w:val="multilevel"/>
    <w:tmpl w:val="B0F2B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755212"/>
    <w:multiLevelType w:val="multilevel"/>
    <w:tmpl w:val="7DD85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A157DE"/>
    <w:multiLevelType w:val="multilevel"/>
    <w:tmpl w:val="3D0E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89091F"/>
    <w:multiLevelType w:val="multilevel"/>
    <w:tmpl w:val="1CE6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9A0A72"/>
    <w:multiLevelType w:val="multilevel"/>
    <w:tmpl w:val="BDF2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3B5EB9"/>
    <w:multiLevelType w:val="hybridMultilevel"/>
    <w:tmpl w:val="58F066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D840C41"/>
    <w:multiLevelType w:val="multilevel"/>
    <w:tmpl w:val="ADF4E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2E5503"/>
    <w:multiLevelType w:val="multilevel"/>
    <w:tmpl w:val="17A4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D25F5F"/>
    <w:multiLevelType w:val="multilevel"/>
    <w:tmpl w:val="21D2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453425"/>
    <w:multiLevelType w:val="multilevel"/>
    <w:tmpl w:val="723C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4942B4"/>
    <w:multiLevelType w:val="multilevel"/>
    <w:tmpl w:val="8A98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7841C3"/>
    <w:multiLevelType w:val="multilevel"/>
    <w:tmpl w:val="17B0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0B1734"/>
    <w:multiLevelType w:val="multilevel"/>
    <w:tmpl w:val="B368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392D41"/>
    <w:multiLevelType w:val="multilevel"/>
    <w:tmpl w:val="C7AC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3D1152"/>
    <w:multiLevelType w:val="multilevel"/>
    <w:tmpl w:val="4D90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76624A"/>
    <w:multiLevelType w:val="multilevel"/>
    <w:tmpl w:val="1B58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7716E9"/>
    <w:multiLevelType w:val="multilevel"/>
    <w:tmpl w:val="376A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8F4337"/>
    <w:multiLevelType w:val="multilevel"/>
    <w:tmpl w:val="BC62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C47794"/>
    <w:multiLevelType w:val="multilevel"/>
    <w:tmpl w:val="7136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AA6165"/>
    <w:multiLevelType w:val="multilevel"/>
    <w:tmpl w:val="3192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CF2511"/>
    <w:multiLevelType w:val="multilevel"/>
    <w:tmpl w:val="7F16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FF7525"/>
    <w:multiLevelType w:val="multilevel"/>
    <w:tmpl w:val="B90E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0527C5"/>
    <w:multiLevelType w:val="multilevel"/>
    <w:tmpl w:val="EEA6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367131"/>
    <w:multiLevelType w:val="multilevel"/>
    <w:tmpl w:val="44E45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0A0726"/>
    <w:multiLevelType w:val="multilevel"/>
    <w:tmpl w:val="C74E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606500"/>
    <w:multiLevelType w:val="multilevel"/>
    <w:tmpl w:val="0D78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0"/>
  </w:num>
  <w:num w:numId="4">
    <w:abstractNumId w:val="26"/>
  </w:num>
  <w:num w:numId="5">
    <w:abstractNumId w:val="3"/>
  </w:num>
  <w:num w:numId="6">
    <w:abstractNumId w:val="34"/>
  </w:num>
  <w:num w:numId="7">
    <w:abstractNumId w:val="30"/>
  </w:num>
  <w:num w:numId="8">
    <w:abstractNumId w:val="23"/>
  </w:num>
  <w:num w:numId="9">
    <w:abstractNumId w:val="9"/>
  </w:num>
  <w:num w:numId="10">
    <w:abstractNumId w:val="10"/>
  </w:num>
  <w:num w:numId="11">
    <w:abstractNumId w:val="7"/>
  </w:num>
  <w:num w:numId="12">
    <w:abstractNumId w:val="35"/>
  </w:num>
  <w:num w:numId="13">
    <w:abstractNumId w:val="40"/>
  </w:num>
  <w:num w:numId="14">
    <w:abstractNumId w:val="24"/>
  </w:num>
  <w:num w:numId="15">
    <w:abstractNumId w:val="2"/>
  </w:num>
  <w:num w:numId="16">
    <w:abstractNumId w:val="18"/>
  </w:num>
  <w:num w:numId="17">
    <w:abstractNumId w:val="37"/>
  </w:num>
  <w:num w:numId="18">
    <w:abstractNumId w:val="39"/>
  </w:num>
  <w:num w:numId="19">
    <w:abstractNumId w:val="8"/>
  </w:num>
  <w:num w:numId="20">
    <w:abstractNumId w:val="19"/>
  </w:num>
  <w:num w:numId="21">
    <w:abstractNumId w:val="17"/>
  </w:num>
  <w:num w:numId="22">
    <w:abstractNumId w:val="27"/>
  </w:num>
  <w:num w:numId="23">
    <w:abstractNumId w:val="6"/>
  </w:num>
  <w:num w:numId="24">
    <w:abstractNumId w:val="22"/>
  </w:num>
  <w:num w:numId="25">
    <w:abstractNumId w:val="11"/>
  </w:num>
  <w:num w:numId="26">
    <w:abstractNumId w:val="15"/>
  </w:num>
  <w:num w:numId="27">
    <w:abstractNumId w:val="29"/>
  </w:num>
  <w:num w:numId="28">
    <w:abstractNumId w:val="1"/>
  </w:num>
  <w:num w:numId="29">
    <w:abstractNumId w:val="5"/>
  </w:num>
  <w:num w:numId="30">
    <w:abstractNumId w:val="13"/>
  </w:num>
  <w:num w:numId="31">
    <w:abstractNumId w:val="36"/>
  </w:num>
  <w:num w:numId="32">
    <w:abstractNumId w:val="31"/>
  </w:num>
  <w:num w:numId="33">
    <w:abstractNumId w:val="32"/>
  </w:num>
  <w:num w:numId="34">
    <w:abstractNumId w:val="25"/>
  </w:num>
  <w:num w:numId="35">
    <w:abstractNumId w:val="28"/>
  </w:num>
  <w:num w:numId="36">
    <w:abstractNumId w:val="12"/>
  </w:num>
  <w:num w:numId="37">
    <w:abstractNumId w:val="21"/>
  </w:num>
  <w:num w:numId="38">
    <w:abstractNumId w:val="41"/>
  </w:num>
  <w:num w:numId="39">
    <w:abstractNumId w:val="16"/>
  </w:num>
  <w:num w:numId="40">
    <w:abstractNumId w:val="33"/>
  </w:num>
  <w:num w:numId="41">
    <w:abstractNumId w:val="38"/>
  </w:num>
  <w:num w:numId="42">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13E4E"/>
    <w:rsid w:val="00034765"/>
    <w:rsid w:val="000353A9"/>
    <w:rsid w:val="00047D20"/>
    <w:rsid w:val="00075EFE"/>
    <w:rsid w:val="0008175A"/>
    <w:rsid w:val="00082D62"/>
    <w:rsid w:val="0009467B"/>
    <w:rsid w:val="000972DF"/>
    <w:rsid w:val="000D6D9D"/>
    <w:rsid w:val="000F1A01"/>
    <w:rsid w:val="000F55A1"/>
    <w:rsid w:val="000F6AFF"/>
    <w:rsid w:val="00106449"/>
    <w:rsid w:val="00111E6A"/>
    <w:rsid w:val="001205BF"/>
    <w:rsid w:val="001360B3"/>
    <w:rsid w:val="0015316A"/>
    <w:rsid w:val="001613A9"/>
    <w:rsid w:val="00187360"/>
    <w:rsid w:val="0019248E"/>
    <w:rsid w:val="001A1B49"/>
    <w:rsid w:val="001B0B46"/>
    <w:rsid w:val="001C0C72"/>
    <w:rsid w:val="001E6AC0"/>
    <w:rsid w:val="001F38E4"/>
    <w:rsid w:val="00210295"/>
    <w:rsid w:val="0021449D"/>
    <w:rsid w:val="002205ED"/>
    <w:rsid w:val="00222A30"/>
    <w:rsid w:val="0022376C"/>
    <w:rsid w:val="002248DA"/>
    <w:rsid w:val="00232EB2"/>
    <w:rsid w:val="00254849"/>
    <w:rsid w:val="00254DE5"/>
    <w:rsid w:val="002700FC"/>
    <w:rsid w:val="002960F4"/>
    <w:rsid w:val="0029745B"/>
    <w:rsid w:val="002A460C"/>
    <w:rsid w:val="002E7671"/>
    <w:rsid w:val="002F0832"/>
    <w:rsid w:val="00301B94"/>
    <w:rsid w:val="00304E21"/>
    <w:rsid w:val="0031032D"/>
    <w:rsid w:val="00322927"/>
    <w:rsid w:val="00346F7F"/>
    <w:rsid w:val="0035549C"/>
    <w:rsid w:val="0037042B"/>
    <w:rsid w:val="003808B2"/>
    <w:rsid w:val="00383DFC"/>
    <w:rsid w:val="00391D25"/>
    <w:rsid w:val="003947D5"/>
    <w:rsid w:val="003B2E42"/>
    <w:rsid w:val="003B4822"/>
    <w:rsid w:val="003D4167"/>
    <w:rsid w:val="00423F35"/>
    <w:rsid w:val="00430959"/>
    <w:rsid w:val="00434BB9"/>
    <w:rsid w:val="00440265"/>
    <w:rsid w:val="004720EA"/>
    <w:rsid w:val="00487559"/>
    <w:rsid w:val="0049031A"/>
    <w:rsid w:val="004A2F94"/>
    <w:rsid w:val="004D72CA"/>
    <w:rsid w:val="005028C1"/>
    <w:rsid w:val="005133C0"/>
    <w:rsid w:val="00522BBC"/>
    <w:rsid w:val="00537C28"/>
    <w:rsid w:val="00540A81"/>
    <w:rsid w:val="00545B85"/>
    <w:rsid w:val="0055085D"/>
    <w:rsid w:val="005831BD"/>
    <w:rsid w:val="00596007"/>
    <w:rsid w:val="005B7681"/>
    <w:rsid w:val="005C0609"/>
    <w:rsid w:val="005C17FB"/>
    <w:rsid w:val="005F1439"/>
    <w:rsid w:val="00613884"/>
    <w:rsid w:val="00623479"/>
    <w:rsid w:val="006579BA"/>
    <w:rsid w:val="006719B1"/>
    <w:rsid w:val="006917E9"/>
    <w:rsid w:val="006B094E"/>
    <w:rsid w:val="006B73C5"/>
    <w:rsid w:val="006C5487"/>
    <w:rsid w:val="006D5726"/>
    <w:rsid w:val="006E4201"/>
    <w:rsid w:val="006F179F"/>
    <w:rsid w:val="00711FBC"/>
    <w:rsid w:val="0073019F"/>
    <w:rsid w:val="00740FE9"/>
    <w:rsid w:val="00746F14"/>
    <w:rsid w:val="007522C0"/>
    <w:rsid w:val="007563C7"/>
    <w:rsid w:val="00757A93"/>
    <w:rsid w:val="00764E41"/>
    <w:rsid w:val="00774716"/>
    <w:rsid w:val="00774D9D"/>
    <w:rsid w:val="007A5179"/>
    <w:rsid w:val="007B20A2"/>
    <w:rsid w:val="007B2AA6"/>
    <w:rsid w:val="007B516C"/>
    <w:rsid w:val="007C0ACD"/>
    <w:rsid w:val="007C3099"/>
    <w:rsid w:val="007D3F0F"/>
    <w:rsid w:val="007D68A9"/>
    <w:rsid w:val="007E4777"/>
    <w:rsid w:val="00821BFE"/>
    <w:rsid w:val="00826A0D"/>
    <w:rsid w:val="00827728"/>
    <w:rsid w:val="00875AC6"/>
    <w:rsid w:val="00876AF6"/>
    <w:rsid w:val="008A45FB"/>
    <w:rsid w:val="008D10E2"/>
    <w:rsid w:val="008E4097"/>
    <w:rsid w:val="008F426C"/>
    <w:rsid w:val="00913538"/>
    <w:rsid w:val="0092329E"/>
    <w:rsid w:val="00940242"/>
    <w:rsid w:val="00954970"/>
    <w:rsid w:val="00963CF4"/>
    <w:rsid w:val="00983503"/>
    <w:rsid w:val="009B29FB"/>
    <w:rsid w:val="009B42C7"/>
    <w:rsid w:val="009B54C8"/>
    <w:rsid w:val="009C1AFE"/>
    <w:rsid w:val="009D168F"/>
    <w:rsid w:val="009D75C4"/>
    <w:rsid w:val="009E1689"/>
    <w:rsid w:val="009E1DDB"/>
    <w:rsid w:val="009E2752"/>
    <w:rsid w:val="009F4111"/>
    <w:rsid w:val="009F68A5"/>
    <w:rsid w:val="00A0419B"/>
    <w:rsid w:val="00A24B24"/>
    <w:rsid w:val="00A365FE"/>
    <w:rsid w:val="00A75105"/>
    <w:rsid w:val="00A94D4A"/>
    <w:rsid w:val="00AA64D1"/>
    <w:rsid w:val="00AB6D62"/>
    <w:rsid w:val="00AC6C4B"/>
    <w:rsid w:val="00AE0251"/>
    <w:rsid w:val="00AE0B02"/>
    <w:rsid w:val="00AF4B29"/>
    <w:rsid w:val="00B125D0"/>
    <w:rsid w:val="00B55BB1"/>
    <w:rsid w:val="00B95258"/>
    <w:rsid w:val="00B97C9C"/>
    <w:rsid w:val="00BA11B2"/>
    <w:rsid w:val="00BA7B70"/>
    <w:rsid w:val="00BC3324"/>
    <w:rsid w:val="00BC58F0"/>
    <w:rsid w:val="00BC6F53"/>
    <w:rsid w:val="00BD7786"/>
    <w:rsid w:val="00BD7943"/>
    <w:rsid w:val="00C107AD"/>
    <w:rsid w:val="00C65631"/>
    <w:rsid w:val="00CB5AFE"/>
    <w:rsid w:val="00CB6040"/>
    <w:rsid w:val="00CD4917"/>
    <w:rsid w:val="00CF4984"/>
    <w:rsid w:val="00D225EF"/>
    <w:rsid w:val="00D27E12"/>
    <w:rsid w:val="00D56586"/>
    <w:rsid w:val="00D70EEB"/>
    <w:rsid w:val="00D724AC"/>
    <w:rsid w:val="00DA3EDF"/>
    <w:rsid w:val="00DB0820"/>
    <w:rsid w:val="00DC42D9"/>
    <w:rsid w:val="00DD6D27"/>
    <w:rsid w:val="00E0354B"/>
    <w:rsid w:val="00E140A0"/>
    <w:rsid w:val="00E770DB"/>
    <w:rsid w:val="00E902F8"/>
    <w:rsid w:val="00EC03E4"/>
    <w:rsid w:val="00EC1F13"/>
    <w:rsid w:val="00EE2C83"/>
    <w:rsid w:val="00EE51EE"/>
    <w:rsid w:val="00F30EED"/>
    <w:rsid w:val="00F41FB1"/>
    <w:rsid w:val="00F53D8B"/>
    <w:rsid w:val="00F90C1F"/>
    <w:rsid w:val="00FA4A13"/>
    <w:rsid w:val="00FC6D8A"/>
    <w:rsid w:val="00FE1D7C"/>
    <w:rsid w:val="00FE21C5"/>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DF"/>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 w:type="paragraph" w:customStyle="1" w:styleId="rteleft">
    <w:name w:val="rteleft"/>
    <w:basedOn w:val="Normal"/>
    <w:rsid w:val="0015316A"/>
    <w:pPr>
      <w:spacing w:after="0" w:line="240" w:lineRule="auto"/>
    </w:pPr>
    <w:rPr>
      <w:rFonts w:ascii="Times New Roman" w:eastAsia="Times New Roman" w:hAnsi="Times New Roman" w:cs="Times New Roman"/>
      <w:sz w:val="24"/>
      <w:szCs w:val="24"/>
      <w:lang w:eastAsia="tr-TR"/>
    </w:rPr>
  </w:style>
  <w:style w:type="paragraph" w:customStyle="1" w:styleId="rteindent1">
    <w:name w:val="rteindent1"/>
    <w:basedOn w:val="Normal"/>
    <w:rsid w:val="005F1439"/>
    <w:pPr>
      <w:spacing w:after="0" w:line="240" w:lineRule="auto"/>
      <w:ind w:left="600"/>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95151">
      <w:bodyDiv w:val="1"/>
      <w:marLeft w:val="0"/>
      <w:marRight w:val="0"/>
      <w:marTop w:val="0"/>
      <w:marBottom w:val="0"/>
      <w:divBdr>
        <w:top w:val="none" w:sz="0" w:space="0" w:color="auto"/>
        <w:left w:val="none" w:sz="0" w:space="0" w:color="auto"/>
        <w:bottom w:val="none" w:sz="0" w:space="0" w:color="auto"/>
        <w:right w:val="none" w:sz="0" w:space="0" w:color="auto"/>
      </w:divBdr>
      <w:divsChild>
        <w:div w:id="345210262">
          <w:marLeft w:val="0"/>
          <w:marRight w:val="0"/>
          <w:marTop w:val="0"/>
          <w:marBottom w:val="0"/>
          <w:divBdr>
            <w:top w:val="none" w:sz="0" w:space="0" w:color="auto"/>
            <w:left w:val="none" w:sz="0" w:space="0" w:color="auto"/>
            <w:bottom w:val="none" w:sz="0" w:space="0" w:color="auto"/>
            <w:right w:val="none" w:sz="0" w:space="0" w:color="auto"/>
          </w:divBdr>
          <w:divsChild>
            <w:div w:id="813067078">
              <w:marLeft w:val="150"/>
              <w:marRight w:val="150"/>
              <w:marTop w:val="0"/>
              <w:marBottom w:val="150"/>
              <w:divBdr>
                <w:top w:val="none" w:sz="0" w:space="0" w:color="auto"/>
                <w:left w:val="none" w:sz="0" w:space="0" w:color="auto"/>
                <w:bottom w:val="none" w:sz="0" w:space="0" w:color="auto"/>
                <w:right w:val="none" w:sz="0" w:space="0" w:color="auto"/>
              </w:divBdr>
              <w:divsChild>
                <w:div w:id="1072266300">
                  <w:marLeft w:val="0"/>
                  <w:marRight w:val="0"/>
                  <w:marTop w:val="0"/>
                  <w:marBottom w:val="0"/>
                  <w:divBdr>
                    <w:top w:val="none" w:sz="0" w:space="0" w:color="auto"/>
                    <w:left w:val="none" w:sz="0" w:space="0" w:color="auto"/>
                    <w:bottom w:val="none" w:sz="0" w:space="0" w:color="auto"/>
                    <w:right w:val="none" w:sz="0" w:space="0" w:color="auto"/>
                  </w:divBdr>
                  <w:divsChild>
                    <w:div w:id="1281955750">
                      <w:marLeft w:val="0"/>
                      <w:marRight w:val="0"/>
                      <w:marTop w:val="0"/>
                      <w:marBottom w:val="0"/>
                      <w:divBdr>
                        <w:top w:val="none" w:sz="0" w:space="0" w:color="auto"/>
                        <w:left w:val="none" w:sz="0" w:space="0" w:color="auto"/>
                        <w:bottom w:val="none" w:sz="0" w:space="0" w:color="auto"/>
                        <w:right w:val="none" w:sz="0" w:space="0" w:color="auto"/>
                      </w:divBdr>
                      <w:divsChild>
                        <w:div w:id="24722148">
                          <w:marLeft w:val="0"/>
                          <w:marRight w:val="0"/>
                          <w:marTop w:val="0"/>
                          <w:marBottom w:val="0"/>
                          <w:divBdr>
                            <w:top w:val="none" w:sz="0" w:space="0" w:color="auto"/>
                            <w:left w:val="none" w:sz="0" w:space="0" w:color="auto"/>
                            <w:bottom w:val="none" w:sz="0" w:space="0" w:color="auto"/>
                            <w:right w:val="none" w:sz="0" w:space="0" w:color="auto"/>
                          </w:divBdr>
                          <w:divsChild>
                            <w:div w:id="1576628045">
                              <w:marLeft w:val="0"/>
                              <w:marRight w:val="0"/>
                              <w:marTop w:val="0"/>
                              <w:marBottom w:val="0"/>
                              <w:divBdr>
                                <w:top w:val="none" w:sz="0" w:space="0" w:color="auto"/>
                                <w:left w:val="none" w:sz="0" w:space="0" w:color="auto"/>
                                <w:bottom w:val="none" w:sz="0" w:space="0" w:color="auto"/>
                                <w:right w:val="none" w:sz="0" w:space="0" w:color="auto"/>
                              </w:divBdr>
                              <w:divsChild>
                                <w:div w:id="805512841">
                                  <w:marLeft w:val="0"/>
                                  <w:marRight w:val="0"/>
                                  <w:marTop w:val="0"/>
                                  <w:marBottom w:val="0"/>
                                  <w:divBdr>
                                    <w:top w:val="none" w:sz="0" w:space="0" w:color="auto"/>
                                    <w:left w:val="none" w:sz="0" w:space="0" w:color="auto"/>
                                    <w:bottom w:val="none" w:sz="0" w:space="0" w:color="auto"/>
                                    <w:right w:val="none" w:sz="0" w:space="0" w:color="auto"/>
                                  </w:divBdr>
                                </w:div>
                                <w:div w:id="19623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79478">
      <w:bodyDiv w:val="1"/>
      <w:marLeft w:val="0"/>
      <w:marRight w:val="0"/>
      <w:marTop w:val="0"/>
      <w:marBottom w:val="0"/>
      <w:divBdr>
        <w:top w:val="none" w:sz="0" w:space="0" w:color="auto"/>
        <w:left w:val="none" w:sz="0" w:space="0" w:color="auto"/>
        <w:bottom w:val="none" w:sz="0" w:space="0" w:color="auto"/>
        <w:right w:val="none" w:sz="0" w:space="0" w:color="auto"/>
      </w:divBdr>
      <w:divsChild>
        <w:div w:id="1913467084">
          <w:marLeft w:val="0"/>
          <w:marRight w:val="0"/>
          <w:marTop w:val="0"/>
          <w:marBottom w:val="0"/>
          <w:divBdr>
            <w:top w:val="none" w:sz="0" w:space="0" w:color="auto"/>
            <w:left w:val="none" w:sz="0" w:space="0" w:color="auto"/>
            <w:bottom w:val="none" w:sz="0" w:space="0" w:color="auto"/>
            <w:right w:val="none" w:sz="0" w:space="0" w:color="auto"/>
          </w:divBdr>
          <w:divsChild>
            <w:div w:id="1086146538">
              <w:marLeft w:val="150"/>
              <w:marRight w:val="150"/>
              <w:marTop w:val="0"/>
              <w:marBottom w:val="150"/>
              <w:divBdr>
                <w:top w:val="none" w:sz="0" w:space="0" w:color="auto"/>
                <w:left w:val="none" w:sz="0" w:space="0" w:color="auto"/>
                <w:bottom w:val="none" w:sz="0" w:space="0" w:color="auto"/>
                <w:right w:val="none" w:sz="0" w:space="0" w:color="auto"/>
              </w:divBdr>
              <w:divsChild>
                <w:div w:id="1105535600">
                  <w:marLeft w:val="0"/>
                  <w:marRight w:val="0"/>
                  <w:marTop w:val="0"/>
                  <w:marBottom w:val="0"/>
                  <w:divBdr>
                    <w:top w:val="none" w:sz="0" w:space="0" w:color="auto"/>
                    <w:left w:val="none" w:sz="0" w:space="0" w:color="auto"/>
                    <w:bottom w:val="none" w:sz="0" w:space="0" w:color="auto"/>
                    <w:right w:val="none" w:sz="0" w:space="0" w:color="auto"/>
                  </w:divBdr>
                  <w:divsChild>
                    <w:div w:id="240800992">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sChild>
                            <w:div w:id="1819151514">
                              <w:marLeft w:val="0"/>
                              <w:marRight w:val="0"/>
                              <w:marTop w:val="0"/>
                              <w:marBottom w:val="0"/>
                              <w:divBdr>
                                <w:top w:val="none" w:sz="0" w:space="0" w:color="auto"/>
                                <w:left w:val="none" w:sz="0" w:space="0" w:color="auto"/>
                                <w:bottom w:val="none" w:sz="0" w:space="0" w:color="auto"/>
                                <w:right w:val="none" w:sz="0" w:space="0" w:color="auto"/>
                              </w:divBdr>
                              <w:divsChild>
                                <w:div w:id="56982438">
                                  <w:marLeft w:val="0"/>
                                  <w:marRight w:val="0"/>
                                  <w:marTop w:val="0"/>
                                  <w:marBottom w:val="0"/>
                                  <w:divBdr>
                                    <w:top w:val="none" w:sz="0" w:space="0" w:color="auto"/>
                                    <w:left w:val="none" w:sz="0" w:space="0" w:color="auto"/>
                                    <w:bottom w:val="none" w:sz="0" w:space="0" w:color="auto"/>
                                    <w:right w:val="none" w:sz="0" w:space="0" w:color="auto"/>
                                  </w:divBdr>
                                </w:div>
                                <w:div w:id="1138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1998">
      <w:bodyDiv w:val="1"/>
      <w:marLeft w:val="0"/>
      <w:marRight w:val="0"/>
      <w:marTop w:val="0"/>
      <w:marBottom w:val="0"/>
      <w:divBdr>
        <w:top w:val="none" w:sz="0" w:space="0" w:color="auto"/>
        <w:left w:val="none" w:sz="0" w:space="0" w:color="auto"/>
        <w:bottom w:val="none" w:sz="0" w:space="0" w:color="auto"/>
        <w:right w:val="none" w:sz="0" w:space="0" w:color="auto"/>
      </w:divBdr>
      <w:divsChild>
        <w:div w:id="222722133">
          <w:marLeft w:val="0"/>
          <w:marRight w:val="0"/>
          <w:marTop w:val="0"/>
          <w:marBottom w:val="0"/>
          <w:divBdr>
            <w:top w:val="none" w:sz="0" w:space="0" w:color="auto"/>
            <w:left w:val="none" w:sz="0" w:space="0" w:color="auto"/>
            <w:bottom w:val="none" w:sz="0" w:space="0" w:color="auto"/>
            <w:right w:val="none" w:sz="0" w:space="0" w:color="auto"/>
          </w:divBdr>
          <w:divsChild>
            <w:div w:id="1254243489">
              <w:marLeft w:val="150"/>
              <w:marRight w:val="150"/>
              <w:marTop w:val="0"/>
              <w:marBottom w:val="150"/>
              <w:divBdr>
                <w:top w:val="none" w:sz="0" w:space="0" w:color="auto"/>
                <w:left w:val="none" w:sz="0" w:space="0" w:color="auto"/>
                <w:bottom w:val="none" w:sz="0" w:space="0" w:color="auto"/>
                <w:right w:val="none" w:sz="0" w:space="0" w:color="auto"/>
              </w:divBdr>
              <w:divsChild>
                <w:div w:id="2057468885">
                  <w:marLeft w:val="0"/>
                  <w:marRight w:val="0"/>
                  <w:marTop w:val="0"/>
                  <w:marBottom w:val="0"/>
                  <w:divBdr>
                    <w:top w:val="none" w:sz="0" w:space="0" w:color="auto"/>
                    <w:left w:val="none" w:sz="0" w:space="0" w:color="auto"/>
                    <w:bottom w:val="none" w:sz="0" w:space="0" w:color="auto"/>
                    <w:right w:val="none" w:sz="0" w:space="0" w:color="auto"/>
                  </w:divBdr>
                  <w:divsChild>
                    <w:div w:id="861436556">
                      <w:marLeft w:val="0"/>
                      <w:marRight w:val="0"/>
                      <w:marTop w:val="0"/>
                      <w:marBottom w:val="0"/>
                      <w:divBdr>
                        <w:top w:val="none" w:sz="0" w:space="0" w:color="auto"/>
                        <w:left w:val="none" w:sz="0" w:space="0" w:color="auto"/>
                        <w:bottom w:val="none" w:sz="0" w:space="0" w:color="auto"/>
                        <w:right w:val="none" w:sz="0" w:space="0" w:color="auto"/>
                      </w:divBdr>
                      <w:divsChild>
                        <w:div w:id="60489789">
                          <w:marLeft w:val="0"/>
                          <w:marRight w:val="0"/>
                          <w:marTop w:val="0"/>
                          <w:marBottom w:val="0"/>
                          <w:divBdr>
                            <w:top w:val="none" w:sz="0" w:space="0" w:color="auto"/>
                            <w:left w:val="none" w:sz="0" w:space="0" w:color="auto"/>
                            <w:bottom w:val="none" w:sz="0" w:space="0" w:color="auto"/>
                            <w:right w:val="none" w:sz="0" w:space="0" w:color="auto"/>
                          </w:divBdr>
                          <w:divsChild>
                            <w:div w:id="1440178606">
                              <w:marLeft w:val="0"/>
                              <w:marRight w:val="0"/>
                              <w:marTop w:val="0"/>
                              <w:marBottom w:val="0"/>
                              <w:divBdr>
                                <w:top w:val="none" w:sz="0" w:space="0" w:color="auto"/>
                                <w:left w:val="none" w:sz="0" w:space="0" w:color="auto"/>
                                <w:bottom w:val="none" w:sz="0" w:space="0" w:color="auto"/>
                                <w:right w:val="none" w:sz="0" w:space="0" w:color="auto"/>
                              </w:divBdr>
                              <w:divsChild>
                                <w:div w:id="1671711668">
                                  <w:marLeft w:val="0"/>
                                  <w:marRight w:val="0"/>
                                  <w:marTop w:val="0"/>
                                  <w:marBottom w:val="0"/>
                                  <w:divBdr>
                                    <w:top w:val="none" w:sz="0" w:space="0" w:color="auto"/>
                                    <w:left w:val="none" w:sz="0" w:space="0" w:color="auto"/>
                                    <w:bottom w:val="none" w:sz="0" w:space="0" w:color="auto"/>
                                    <w:right w:val="none" w:sz="0" w:space="0" w:color="auto"/>
                                  </w:divBdr>
                                </w:div>
                                <w:div w:id="1667712087">
                                  <w:marLeft w:val="0"/>
                                  <w:marRight w:val="0"/>
                                  <w:marTop w:val="0"/>
                                  <w:marBottom w:val="0"/>
                                  <w:divBdr>
                                    <w:top w:val="none" w:sz="0" w:space="0" w:color="auto"/>
                                    <w:left w:val="none" w:sz="0" w:space="0" w:color="auto"/>
                                    <w:bottom w:val="none" w:sz="0" w:space="0" w:color="auto"/>
                                    <w:right w:val="none" w:sz="0" w:space="0" w:color="auto"/>
                                  </w:divBdr>
                                </w:div>
                                <w:div w:id="1768845940">
                                  <w:blockQuote w:val="1"/>
                                  <w:marLeft w:val="240"/>
                                  <w:marRight w:val="240"/>
                                  <w:marTop w:val="120"/>
                                  <w:marBottom w:val="120"/>
                                  <w:divBdr>
                                    <w:top w:val="none" w:sz="0" w:space="0" w:color="auto"/>
                                    <w:left w:val="none" w:sz="0" w:space="0" w:color="auto"/>
                                    <w:bottom w:val="none" w:sz="0" w:space="0" w:color="auto"/>
                                    <w:right w:val="none" w:sz="0" w:space="0" w:color="auto"/>
                                  </w:divBdr>
                                </w:div>
                                <w:div w:id="59718999">
                                  <w:marLeft w:val="0"/>
                                  <w:marRight w:val="0"/>
                                  <w:marTop w:val="0"/>
                                  <w:marBottom w:val="0"/>
                                  <w:divBdr>
                                    <w:top w:val="none" w:sz="0" w:space="0" w:color="auto"/>
                                    <w:left w:val="none" w:sz="0" w:space="0" w:color="auto"/>
                                    <w:bottom w:val="none" w:sz="0" w:space="0" w:color="auto"/>
                                    <w:right w:val="none" w:sz="0" w:space="0" w:color="auto"/>
                                  </w:divBdr>
                                </w:div>
                                <w:div w:id="12160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007337">
      <w:bodyDiv w:val="1"/>
      <w:marLeft w:val="0"/>
      <w:marRight w:val="0"/>
      <w:marTop w:val="0"/>
      <w:marBottom w:val="0"/>
      <w:divBdr>
        <w:top w:val="none" w:sz="0" w:space="0" w:color="auto"/>
        <w:left w:val="none" w:sz="0" w:space="0" w:color="auto"/>
        <w:bottom w:val="none" w:sz="0" w:space="0" w:color="auto"/>
        <w:right w:val="none" w:sz="0" w:space="0" w:color="auto"/>
      </w:divBdr>
      <w:divsChild>
        <w:div w:id="1457985388">
          <w:marLeft w:val="0"/>
          <w:marRight w:val="0"/>
          <w:marTop w:val="0"/>
          <w:marBottom w:val="0"/>
          <w:divBdr>
            <w:top w:val="none" w:sz="0" w:space="0" w:color="auto"/>
            <w:left w:val="none" w:sz="0" w:space="0" w:color="auto"/>
            <w:bottom w:val="none" w:sz="0" w:space="0" w:color="auto"/>
            <w:right w:val="none" w:sz="0" w:space="0" w:color="auto"/>
          </w:divBdr>
          <w:divsChild>
            <w:div w:id="993679005">
              <w:marLeft w:val="150"/>
              <w:marRight w:val="150"/>
              <w:marTop w:val="0"/>
              <w:marBottom w:val="150"/>
              <w:divBdr>
                <w:top w:val="none" w:sz="0" w:space="0" w:color="auto"/>
                <w:left w:val="none" w:sz="0" w:space="0" w:color="auto"/>
                <w:bottom w:val="none" w:sz="0" w:space="0" w:color="auto"/>
                <w:right w:val="none" w:sz="0" w:space="0" w:color="auto"/>
              </w:divBdr>
              <w:divsChild>
                <w:div w:id="887495623">
                  <w:marLeft w:val="0"/>
                  <w:marRight w:val="0"/>
                  <w:marTop w:val="0"/>
                  <w:marBottom w:val="0"/>
                  <w:divBdr>
                    <w:top w:val="none" w:sz="0" w:space="0" w:color="auto"/>
                    <w:left w:val="none" w:sz="0" w:space="0" w:color="auto"/>
                    <w:bottom w:val="none" w:sz="0" w:space="0" w:color="auto"/>
                    <w:right w:val="none" w:sz="0" w:space="0" w:color="auto"/>
                  </w:divBdr>
                  <w:divsChild>
                    <w:div w:id="2083405539">
                      <w:marLeft w:val="0"/>
                      <w:marRight w:val="0"/>
                      <w:marTop w:val="0"/>
                      <w:marBottom w:val="0"/>
                      <w:divBdr>
                        <w:top w:val="none" w:sz="0" w:space="0" w:color="auto"/>
                        <w:left w:val="none" w:sz="0" w:space="0" w:color="auto"/>
                        <w:bottom w:val="none" w:sz="0" w:space="0" w:color="auto"/>
                        <w:right w:val="none" w:sz="0" w:space="0" w:color="auto"/>
                      </w:divBdr>
                      <w:divsChild>
                        <w:div w:id="1083838068">
                          <w:marLeft w:val="0"/>
                          <w:marRight w:val="0"/>
                          <w:marTop w:val="0"/>
                          <w:marBottom w:val="0"/>
                          <w:divBdr>
                            <w:top w:val="none" w:sz="0" w:space="0" w:color="auto"/>
                            <w:left w:val="none" w:sz="0" w:space="0" w:color="auto"/>
                            <w:bottom w:val="none" w:sz="0" w:space="0" w:color="auto"/>
                            <w:right w:val="none" w:sz="0" w:space="0" w:color="auto"/>
                          </w:divBdr>
                          <w:divsChild>
                            <w:div w:id="2096781236">
                              <w:marLeft w:val="0"/>
                              <w:marRight w:val="0"/>
                              <w:marTop w:val="0"/>
                              <w:marBottom w:val="0"/>
                              <w:divBdr>
                                <w:top w:val="none" w:sz="0" w:space="0" w:color="auto"/>
                                <w:left w:val="none" w:sz="0" w:space="0" w:color="auto"/>
                                <w:bottom w:val="none" w:sz="0" w:space="0" w:color="auto"/>
                                <w:right w:val="none" w:sz="0" w:space="0" w:color="auto"/>
                              </w:divBdr>
                              <w:divsChild>
                                <w:div w:id="1547184940">
                                  <w:marLeft w:val="0"/>
                                  <w:marRight w:val="0"/>
                                  <w:marTop w:val="0"/>
                                  <w:marBottom w:val="0"/>
                                  <w:divBdr>
                                    <w:top w:val="none" w:sz="0" w:space="0" w:color="auto"/>
                                    <w:left w:val="none" w:sz="0" w:space="0" w:color="auto"/>
                                    <w:bottom w:val="none" w:sz="0" w:space="0" w:color="auto"/>
                                    <w:right w:val="none" w:sz="0" w:space="0" w:color="auto"/>
                                  </w:divBdr>
                                </w:div>
                                <w:div w:id="15847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5222">
      <w:bodyDiv w:val="1"/>
      <w:marLeft w:val="0"/>
      <w:marRight w:val="0"/>
      <w:marTop w:val="0"/>
      <w:marBottom w:val="0"/>
      <w:divBdr>
        <w:top w:val="none" w:sz="0" w:space="0" w:color="auto"/>
        <w:left w:val="none" w:sz="0" w:space="0" w:color="auto"/>
        <w:bottom w:val="none" w:sz="0" w:space="0" w:color="auto"/>
        <w:right w:val="none" w:sz="0" w:space="0" w:color="auto"/>
      </w:divBdr>
      <w:divsChild>
        <w:div w:id="625625795">
          <w:marLeft w:val="0"/>
          <w:marRight w:val="0"/>
          <w:marTop w:val="0"/>
          <w:marBottom w:val="0"/>
          <w:divBdr>
            <w:top w:val="none" w:sz="0" w:space="0" w:color="auto"/>
            <w:left w:val="none" w:sz="0" w:space="0" w:color="auto"/>
            <w:bottom w:val="none" w:sz="0" w:space="0" w:color="auto"/>
            <w:right w:val="none" w:sz="0" w:space="0" w:color="auto"/>
          </w:divBdr>
          <w:divsChild>
            <w:div w:id="934899183">
              <w:marLeft w:val="150"/>
              <w:marRight w:val="150"/>
              <w:marTop w:val="0"/>
              <w:marBottom w:val="150"/>
              <w:divBdr>
                <w:top w:val="none" w:sz="0" w:space="0" w:color="auto"/>
                <w:left w:val="none" w:sz="0" w:space="0" w:color="auto"/>
                <w:bottom w:val="none" w:sz="0" w:space="0" w:color="auto"/>
                <w:right w:val="none" w:sz="0" w:space="0" w:color="auto"/>
              </w:divBdr>
              <w:divsChild>
                <w:div w:id="164439541">
                  <w:marLeft w:val="0"/>
                  <w:marRight w:val="0"/>
                  <w:marTop w:val="0"/>
                  <w:marBottom w:val="0"/>
                  <w:divBdr>
                    <w:top w:val="none" w:sz="0" w:space="0" w:color="auto"/>
                    <w:left w:val="none" w:sz="0" w:space="0" w:color="auto"/>
                    <w:bottom w:val="none" w:sz="0" w:space="0" w:color="auto"/>
                    <w:right w:val="none" w:sz="0" w:space="0" w:color="auto"/>
                  </w:divBdr>
                  <w:divsChild>
                    <w:div w:id="148062196">
                      <w:marLeft w:val="0"/>
                      <w:marRight w:val="0"/>
                      <w:marTop w:val="0"/>
                      <w:marBottom w:val="0"/>
                      <w:divBdr>
                        <w:top w:val="none" w:sz="0" w:space="0" w:color="auto"/>
                        <w:left w:val="none" w:sz="0" w:space="0" w:color="auto"/>
                        <w:bottom w:val="none" w:sz="0" w:space="0" w:color="auto"/>
                        <w:right w:val="none" w:sz="0" w:space="0" w:color="auto"/>
                      </w:divBdr>
                      <w:divsChild>
                        <w:div w:id="1864246448">
                          <w:marLeft w:val="0"/>
                          <w:marRight w:val="0"/>
                          <w:marTop w:val="0"/>
                          <w:marBottom w:val="0"/>
                          <w:divBdr>
                            <w:top w:val="none" w:sz="0" w:space="0" w:color="auto"/>
                            <w:left w:val="none" w:sz="0" w:space="0" w:color="auto"/>
                            <w:bottom w:val="none" w:sz="0" w:space="0" w:color="auto"/>
                            <w:right w:val="none" w:sz="0" w:space="0" w:color="auto"/>
                          </w:divBdr>
                          <w:divsChild>
                            <w:div w:id="462767902">
                              <w:marLeft w:val="0"/>
                              <w:marRight w:val="0"/>
                              <w:marTop w:val="0"/>
                              <w:marBottom w:val="0"/>
                              <w:divBdr>
                                <w:top w:val="none" w:sz="0" w:space="0" w:color="auto"/>
                                <w:left w:val="none" w:sz="0" w:space="0" w:color="auto"/>
                                <w:bottom w:val="none" w:sz="0" w:space="0" w:color="auto"/>
                                <w:right w:val="none" w:sz="0" w:space="0" w:color="auto"/>
                              </w:divBdr>
                              <w:divsChild>
                                <w:div w:id="969894378">
                                  <w:marLeft w:val="0"/>
                                  <w:marRight w:val="0"/>
                                  <w:marTop w:val="0"/>
                                  <w:marBottom w:val="0"/>
                                  <w:divBdr>
                                    <w:top w:val="none" w:sz="0" w:space="0" w:color="auto"/>
                                    <w:left w:val="none" w:sz="0" w:space="0" w:color="auto"/>
                                    <w:bottom w:val="none" w:sz="0" w:space="0" w:color="auto"/>
                                    <w:right w:val="none" w:sz="0" w:space="0" w:color="auto"/>
                                  </w:divBdr>
                                </w:div>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99633">
      <w:bodyDiv w:val="1"/>
      <w:marLeft w:val="0"/>
      <w:marRight w:val="0"/>
      <w:marTop w:val="0"/>
      <w:marBottom w:val="0"/>
      <w:divBdr>
        <w:top w:val="none" w:sz="0" w:space="0" w:color="auto"/>
        <w:left w:val="none" w:sz="0" w:space="0" w:color="auto"/>
        <w:bottom w:val="none" w:sz="0" w:space="0" w:color="auto"/>
        <w:right w:val="none" w:sz="0" w:space="0" w:color="auto"/>
      </w:divBdr>
      <w:divsChild>
        <w:div w:id="395904041">
          <w:marLeft w:val="0"/>
          <w:marRight w:val="0"/>
          <w:marTop w:val="0"/>
          <w:marBottom w:val="0"/>
          <w:divBdr>
            <w:top w:val="none" w:sz="0" w:space="0" w:color="auto"/>
            <w:left w:val="none" w:sz="0" w:space="0" w:color="auto"/>
            <w:bottom w:val="none" w:sz="0" w:space="0" w:color="auto"/>
            <w:right w:val="none" w:sz="0" w:space="0" w:color="auto"/>
          </w:divBdr>
          <w:divsChild>
            <w:div w:id="1244876766">
              <w:marLeft w:val="150"/>
              <w:marRight w:val="150"/>
              <w:marTop w:val="0"/>
              <w:marBottom w:val="150"/>
              <w:divBdr>
                <w:top w:val="none" w:sz="0" w:space="0" w:color="auto"/>
                <w:left w:val="none" w:sz="0" w:space="0" w:color="auto"/>
                <w:bottom w:val="none" w:sz="0" w:space="0" w:color="auto"/>
                <w:right w:val="none" w:sz="0" w:space="0" w:color="auto"/>
              </w:divBdr>
              <w:divsChild>
                <w:div w:id="1262840815">
                  <w:marLeft w:val="0"/>
                  <w:marRight w:val="0"/>
                  <w:marTop w:val="0"/>
                  <w:marBottom w:val="0"/>
                  <w:divBdr>
                    <w:top w:val="none" w:sz="0" w:space="0" w:color="auto"/>
                    <w:left w:val="none" w:sz="0" w:space="0" w:color="auto"/>
                    <w:bottom w:val="none" w:sz="0" w:space="0" w:color="auto"/>
                    <w:right w:val="none" w:sz="0" w:space="0" w:color="auto"/>
                  </w:divBdr>
                  <w:divsChild>
                    <w:div w:id="1125848311">
                      <w:marLeft w:val="0"/>
                      <w:marRight w:val="0"/>
                      <w:marTop w:val="0"/>
                      <w:marBottom w:val="0"/>
                      <w:divBdr>
                        <w:top w:val="none" w:sz="0" w:space="0" w:color="auto"/>
                        <w:left w:val="none" w:sz="0" w:space="0" w:color="auto"/>
                        <w:bottom w:val="none" w:sz="0" w:space="0" w:color="auto"/>
                        <w:right w:val="none" w:sz="0" w:space="0" w:color="auto"/>
                      </w:divBdr>
                      <w:divsChild>
                        <w:div w:id="2102749246">
                          <w:marLeft w:val="0"/>
                          <w:marRight w:val="0"/>
                          <w:marTop w:val="0"/>
                          <w:marBottom w:val="0"/>
                          <w:divBdr>
                            <w:top w:val="none" w:sz="0" w:space="0" w:color="auto"/>
                            <w:left w:val="none" w:sz="0" w:space="0" w:color="auto"/>
                            <w:bottom w:val="none" w:sz="0" w:space="0" w:color="auto"/>
                            <w:right w:val="none" w:sz="0" w:space="0" w:color="auto"/>
                          </w:divBdr>
                          <w:divsChild>
                            <w:div w:id="717898716">
                              <w:marLeft w:val="0"/>
                              <w:marRight w:val="0"/>
                              <w:marTop w:val="0"/>
                              <w:marBottom w:val="0"/>
                              <w:divBdr>
                                <w:top w:val="none" w:sz="0" w:space="0" w:color="auto"/>
                                <w:left w:val="none" w:sz="0" w:space="0" w:color="auto"/>
                                <w:bottom w:val="none" w:sz="0" w:space="0" w:color="auto"/>
                                <w:right w:val="none" w:sz="0" w:space="0" w:color="auto"/>
                              </w:divBdr>
                              <w:divsChild>
                                <w:div w:id="134833918">
                                  <w:marLeft w:val="0"/>
                                  <w:marRight w:val="0"/>
                                  <w:marTop w:val="0"/>
                                  <w:marBottom w:val="0"/>
                                  <w:divBdr>
                                    <w:top w:val="none" w:sz="0" w:space="0" w:color="auto"/>
                                    <w:left w:val="none" w:sz="0" w:space="0" w:color="auto"/>
                                    <w:bottom w:val="none" w:sz="0" w:space="0" w:color="auto"/>
                                    <w:right w:val="none" w:sz="0" w:space="0" w:color="auto"/>
                                  </w:divBdr>
                                </w:div>
                                <w:div w:id="1145660423">
                                  <w:marLeft w:val="0"/>
                                  <w:marRight w:val="0"/>
                                  <w:marTop w:val="0"/>
                                  <w:marBottom w:val="0"/>
                                  <w:divBdr>
                                    <w:top w:val="none" w:sz="0" w:space="0" w:color="auto"/>
                                    <w:left w:val="none" w:sz="0" w:space="0" w:color="auto"/>
                                    <w:bottom w:val="none" w:sz="0" w:space="0" w:color="auto"/>
                                    <w:right w:val="none" w:sz="0" w:space="0" w:color="auto"/>
                                  </w:divBdr>
                                </w:div>
                                <w:div w:id="906844190">
                                  <w:marLeft w:val="0"/>
                                  <w:marRight w:val="0"/>
                                  <w:marTop w:val="0"/>
                                  <w:marBottom w:val="0"/>
                                  <w:divBdr>
                                    <w:top w:val="none" w:sz="0" w:space="0" w:color="auto"/>
                                    <w:left w:val="none" w:sz="0" w:space="0" w:color="auto"/>
                                    <w:bottom w:val="none" w:sz="0" w:space="0" w:color="auto"/>
                                    <w:right w:val="none" w:sz="0" w:space="0" w:color="auto"/>
                                  </w:divBdr>
                                  <w:divsChild>
                                    <w:div w:id="442892627">
                                      <w:marLeft w:val="0"/>
                                      <w:marRight w:val="0"/>
                                      <w:marTop w:val="0"/>
                                      <w:marBottom w:val="0"/>
                                      <w:divBdr>
                                        <w:top w:val="none" w:sz="0" w:space="0" w:color="auto"/>
                                        <w:left w:val="none" w:sz="0" w:space="0" w:color="auto"/>
                                        <w:bottom w:val="none" w:sz="0" w:space="0" w:color="auto"/>
                                        <w:right w:val="none" w:sz="0" w:space="0" w:color="auto"/>
                                      </w:divBdr>
                                      <w:divsChild>
                                        <w:div w:id="912667599">
                                          <w:marLeft w:val="0"/>
                                          <w:marRight w:val="0"/>
                                          <w:marTop w:val="0"/>
                                          <w:marBottom w:val="0"/>
                                          <w:divBdr>
                                            <w:top w:val="none" w:sz="0" w:space="0" w:color="auto"/>
                                            <w:left w:val="none" w:sz="0" w:space="0" w:color="auto"/>
                                            <w:bottom w:val="none" w:sz="0" w:space="0" w:color="auto"/>
                                            <w:right w:val="none" w:sz="0" w:space="0" w:color="auto"/>
                                          </w:divBdr>
                                        </w:div>
                                      </w:divsChild>
                                    </w:div>
                                    <w:div w:id="1652102894">
                                      <w:marLeft w:val="0"/>
                                      <w:marRight w:val="0"/>
                                      <w:marTop w:val="0"/>
                                      <w:marBottom w:val="0"/>
                                      <w:divBdr>
                                        <w:top w:val="none" w:sz="0" w:space="0" w:color="auto"/>
                                        <w:left w:val="none" w:sz="0" w:space="0" w:color="auto"/>
                                        <w:bottom w:val="none" w:sz="0" w:space="0" w:color="auto"/>
                                        <w:right w:val="none" w:sz="0" w:space="0" w:color="auto"/>
                                      </w:divBdr>
                                      <w:divsChild>
                                        <w:div w:id="13093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457041">
      <w:bodyDiv w:val="1"/>
      <w:marLeft w:val="0"/>
      <w:marRight w:val="0"/>
      <w:marTop w:val="0"/>
      <w:marBottom w:val="0"/>
      <w:divBdr>
        <w:top w:val="none" w:sz="0" w:space="0" w:color="auto"/>
        <w:left w:val="none" w:sz="0" w:space="0" w:color="auto"/>
        <w:bottom w:val="none" w:sz="0" w:space="0" w:color="auto"/>
        <w:right w:val="none" w:sz="0" w:space="0" w:color="auto"/>
      </w:divBdr>
      <w:divsChild>
        <w:div w:id="1983804802">
          <w:marLeft w:val="0"/>
          <w:marRight w:val="0"/>
          <w:marTop w:val="0"/>
          <w:marBottom w:val="0"/>
          <w:divBdr>
            <w:top w:val="none" w:sz="0" w:space="0" w:color="auto"/>
            <w:left w:val="none" w:sz="0" w:space="0" w:color="auto"/>
            <w:bottom w:val="none" w:sz="0" w:space="0" w:color="auto"/>
            <w:right w:val="none" w:sz="0" w:space="0" w:color="auto"/>
          </w:divBdr>
          <w:divsChild>
            <w:div w:id="1777826808">
              <w:marLeft w:val="150"/>
              <w:marRight w:val="150"/>
              <w:marTop w:val="0"/>
              <w:marBottom w:val="150"/>
              <w:divBdr>
                <w:top w:val="none" w:sz="0" w:space="0" w:color="auto"/>
                <w:left w:val="none" w:sz="0" w:space="0" w:color="auto"/>
                <w:bottom w:val="none" w:sz="0" w:space="0" w:color="auto"/>
                <w:right w:val="none" w:sz="0" w:space="0" w:color="auto"/>
              </w:divBdr>
              <w:divsChild>
                <w:div w:id="1740521646">
                  <w:marLeft w:val="0"/>
                  <w:marRight w:val="0"/>
                  <w:marTop w:val="0"/>
                  <w:marBottom w:val="0"/>
                  <w:divBdr>
                    <w:top w:val="none" w:sz="0" w:space="0" w:color="auto"/>
                    <w:left w:val="none" w:sz="0" w:space="0" w:color="auto"/>
                    <w:bottom w:val="none" w:sz="0" w:space="0" w:color="auto"/>
                    <w:right w:val="none" w:sz="0" w:space="0" w:color="auto"/>
                  </w:divBdr>
                  <w:divsChild>
                    <w:div w:id="339551838">
                      <w:marLeft w:val="0"/>
                      <w:marRight w:val="0"/>
                      <w:marTop w:val="0"/>
                      <w:marBottom w:val="0"/>
                      <w:divBdr>
                        <w:top w:val="none" w:sz="0" w:space="0" w:color="auto"/>
                        <w:left w:val="none" w:sz="0" w:space="0" w:color="auto"/>
                        <w:bottom w:val="none" w:sz="0" w:space="0" w:color="auto"/>
                        <w:right w:val="none" w:sz="0" w:space="0" w:color="auto"/>
                      </w:divBdr>
                      <w:divsChild>
                        <w:div w:id="1842773712">
                          <w:marLeft w:val="0"/>
                          <w:marRight w:val="0"/>
                          <w:marTop w:val="0"/>
                          <w:marBottom w:val="0"/>
                          <w:divBdr>
                            <w:top w:val="none" w:sz="0" w:space="0" w:color="auto"/>
                            <w:left w:val="none" w:sz="0" w:space="0" w:color="auto"/>
                            <w:bottom w:val="none" w:sz="0" w:space="0" w:color="auto"/>
                            <w:right w:val="none" w:sz="0" w:space="0" w:color="auto"/>
                          </w:divBdr>
                          <w:divsChild>
                            <w:div w:id="1736077206">
                              <w:marLeft w:val="0"/>
                              <w:marRight w:val="0"/>
                              <w:marTop w:val="0"/>
                              <w:marBottom w:val="0"/>
                              <w:divBdr>
                                <w:top w:val="none" w:sz="0" w:space="0" w:color="auto"/>
                                <w:left w:val="none" w:sz="0" w:space="0" w:color="auto"/>
                                <w:bottom w:val="none" w:sz="0" w:space="0" w:color="auto"/>
                                <w:right w:val="none" w:sz="0" w:space="0" w:color="auto"/>
                              </w:divBdr>
                              <w:divsChild>
                                <w:div w:id="210115555">
                                  <w:marLeft w:val="0"/>
                                  <w:marRight w:val="0"/>
                                  <w:marTop w:val="0"/>
                                  <w:marBottom w:val="0"/>
                                  <w:divBdr>
                                    <w:top w:val="none" w:sz="0" w:space="0" w:color="auto"/>
                                    <w:left w:val="none" w:sz="0" w:space="0" w:color="auto"/>
                                    <w:bottom w:val="none" w:sz="0" w:space="0" w:color="auto"/>
                                    <w:right w:val="none" w:sz="0" w:space="0" w:color="auto"/>
                                  </w:divBdr>
                                </w:div>
                                <w:div w:id="1663704286">
                                  <w:marLeft w:val="0"/>
                                  <w:marRight w:val="0"/>
                                  <w:marTop w:val="0"/>
                                  <w:marBottom w:val="0"/>
                                  <w:divBdr>
                                    <w:top w:val="none" w:sz="0" w:space="0" w:color="auto"/>
                                    <w:left w:val="none" w:sz="0" w:space="0" w:color="auto"/>
                                    <w:bottom w:val="none" w:sz="0" w:space="0" w:color="auto"/>
                                    <w:right w:val="none" w:sz="0" w:space="0" w:color="auto"/>
                                  </w:divBdr>
                                </w:div>
                                <w:div w:id="1938782074">
                                  <w:marLeft w:val="0"/>
                                  <w:marRight w:val="0"/>
                                  <w:marTop w:val="0"/>
                                  <w:marBottom w:val="0"/>
                                  <w:divBdr>
                                    <w:top w:val="none" w:sz="0" w:space="0" w:color="auto"/>
                                    <w:left w:val="none" w:sz="0" w:space="0" w:color="auto"/>
                                    <w:bottom w:val="none" w:sz="0" w:space="0" w:color="auto"/>
                                    <w:right w:val="none" w:sz="0" w:space="0" w:color="auto"/>
                                  </w:divBdr>
                                </w:div>
                                <w:div w:id="582111755">
                                  <w:marLeft w:val="0"/>
                                  <w:marRight w:val="0"/>
                                  <w:marTop w:val="0"/>
                                  <w:marBottom w:val="0"/>
                                  <w:divBdr>
                                    <w:top w:val="none" w:sz="0" w:space="0" w:color="auto"/>
                                    <w:left w:val="none" w:sz="0" w:space="0" w:color="auto"/>
                                    <w:bottom w:val="none" w:sz="0" w:space="0" w:color="auto"/>
                                    <w:right w:val="none" w:sz="0" w:space="0" w:color="auto"/>
                                  </w:divBdr>
                                </w:div>
                                <w:div w:id="193077725">
                                  <w:marLeft w:val="0"/>
                                  <w:marRight w:val="0"/>
                                  <w:marTop w:val="0"/>
                                  <w:marBottom w:val="0"/>
                                  <w:divBdr>
                                    <w:top w:val="none" w:sz="0" w:space="0" w:color="auto"/>
                                    <w:left w:val="none" w:sz="0" w:space="0" w:color="auto"/>
                                    <w:bottom w:val="none" w:sz="0" w:space="0" w:color="auto"/>
                                    <w:right w:val="none" w:sz="0" w:space="0" w:color="auto"/>
                                  </w:divBdr>
                                </w:div>
                                <w:div w:id="753428970">
                                  <w:marLeft w:val="0"/>
                                  <w:marRight w:val="0"/>
                                  <w:marTop w:val="0"/>
                                  <w:marBottom w:val="0"/>
                                  <w:divBdr>
                                    <w:top w:val="none" w:sz="0" w:space="0" w:color="auto"/>
                                    <w:left w:val="none" w:sz="0" w:space="0" w:color="auto"/>
                                    <w:bottom w:val="none" w:sz="0" w:space="0" w:color="auto"/>
                                    <w:right w:val="none" w:sz="0" w:space="0" w:color="auto"/>
                                  </w:divBdr>
                                </w:div>
                                <w:div w:id="1768192719">
                                  <w:marLeft w:val="0"/>
                                  <w:marRight w:val="0"/>
                                  <w:marTop w:val="0"/>
                                  <w:marBottom w:val="0"/>
                                  <w:divBdr>
                                    <w:top w:val="none" w:sz="0" w:space="0" w:color="auto"/>
                                    <w:left w:val="none" w:sz="0" w:space="0" w:color="auto"/>
                                    <w:bottom w:val="none" w:sz="0" w:space="0" w:color="auto"/>
                                    <w:right w:val="none" w:sz="0" w:space="0" w:color="auto"/>
                                  </w:divBdr>
                                </w:div>
                                <w:div w:id="616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95660">
      <w:bodyDiv w:val="1"/>
      <w:marLeft w:val="0"/>
      <w:marRight w:val="0"/>
      <w:marTop w:val="0"/>
      <w:marBottom w:val="0"/>
      <w:divBdr>
        <w:top w:val="none" w:sz="0" w:space="0" w:color="auto"/>
        <w:left w:val="none" w:sz="0" w:space="0" w:color="auto"/>
        <w:bottom w:val="none" w:sz="0" w:space="0" w:color="auto"/>
        <w:right w:val="none" w:sz="0" w:space="0" w:color="auto"/>
      </w:divBdr>
      <w:divsChild>
        <w:div w:id="859120801">
          <w:marLeft w:val="0"/>
          <w:marRight w:val="0"/>
          <w:marTop w:val="0"/>
          <w:marBottom w:val="0"/>
          <w:divBdr>
            <w:top w:val="none" w:sz="0" w:space="0" w:color="auto"/>
            <w:left w:val="none" w:sz="0" w:space="0" w:color="auto"/>
            <w:bottom w:val="none" w:sz="0" w:space="0" w:color="auto"/>
            <w:right w:val="none" w:sz="0" w:space="0" w:color="auto"/>
          </w:divBdr>
          <w:divsChild>
            <w:div w:id="1112238195">
              <w:marLeft w:val="150"/>
              <w:marRight w:val="150"/>
              <w:marTop w:val="0"/>
              <w:marBottom w:val="150"/>
              <w:divBdr>
                <w:top w:val="none" w:sz="0" w:space="0" w:color="auto"/>
                <w:left w:val="none" w:sz="0" w:space="0" w:color="auto"/>
                <w:bottom w:val="none" w:sz="0" w:space="0" w:color="auto"/>
                <w:right w:val="none" w:sz="0" w:space="0" w:color="auto"/>
              </w:divBdr>
              <w:divsChild>
                <w:div w:id="2080982116">
                  <w:marLeft w:val="0"/>
                  <w:marRight w:val="0"/>
                  <w:marTop w:val="0"/>
                  <w:marBottom w:val="0"/>
                  <w:divBdr>
                    <w:top w:val="none" w:sz="0" w:space="0" w:color="auto"/>
                    <w:left w:val="none" w:sz="0" w:space="0" w:color="auto"/>
                    <w:bottom w:val="none" w:sz="0" w:space="0" w:color="auto"/>
                    <w:right w:val="none" w:sz="0" w:space="0" w:color="auto"/>
                  </w:divBdr>
                  <w:divsChild>
                    <w:div w:id="1214539212">
                      <w:marLeft w:val="0"/>
                      <w:marRight w:val="0"/>
                      <w:marTop w:val="0"/>
                      <w:marBottom w:val="0"/>
                      <w:divBdr>
                        <w:top w:val="none" w:sz="0" w:space="0" w:color="auto"/>
                        <w:left w:val="none" w:sz="0" w:space="0" w:color="auto"/>
                        <w:bottom w:val="none" w:sz="0" w:space="0" w:color="auto"/>
                        <w:right w:val="none" w:sz="0" w:space="0" w:color="auto"/>
                      </w:divBdr>
                      <w:divsChild>
                        <w:div w:id="668336423">
                          <w:marLeft w:val="0"/>
                          <w:marRight w:val="0"/>
                          <w:marTop w:val="0"/>
                          <w:marBottom w:val="0"/>
                          <w:divBdr>
                            <w:top w:val="none" w:sz="0" w:space="0" w:color="auto"/>
                            <w:left w:val="none" w:sz="0" w:space="0" w:color="auto"/>
                            <w:bottom w:val="none" w:sz="0" w:space="0" w:color="auto"/>
                            <w:right w:val="none" w:sz="0" w:space="0" w:color="auto"/>
                          </w:divBdr>
                          <w:divsChild>
                            <w:div w:id="595020606">
                              <w:marLeft w:val="0"/>
                              <w:marRight w:val="0"/>
                              <w:marTop w:val="0"/>
                              <w:marBottom w:val="0"/>
                              <w:divBdr>
                                <w:top w:val="none" w:sz="0" w:space="0" w:color="auto"/>
                                <w:left w:val="none" w:sz="0" w:space="0" w:color="auto"/>
                                <w:bottom w:val="none" w:sz="0" w:space="0" w:color="auto"/>
                                <w:right w:val="none" w:sz="0" w:space="0" w:color="auto"/>
                              </w:divBdr>
                              <w:divsChild>
                                <w:div w:id="179199254">
                                  <w:marLeft w:val="0"/>
                                  <w:marRight w:val="0"/>
                                  <w:marTop w:val="0"/>
                                  <w:marBottom w:val="0"/>
                                  <w:divBdr>
                                    <w:top w:val="none" w:sz="0" w:space="0" w:color="auto"/>
                                    <w:left w:val="none" w:sz="0" w:space="0" w:color="auto"/>
                                    <w:bottom w:val="none" w:sz="0" w:space="0" w:color="auto"/>
                                    <w:right w:val="none" w:sz="0" w:space="0" w:color="auto"/>
                                  </w:divBdr>
                                </w:div>
                                <w:div w:id="10159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190844">
      <w:bodyDiv w:val="1"/>
      <w:marLeft w:val="0"/>
      <w:marRight w:val="0"/>
      <w:marTop w:val="0"/>
      <w:marBottom w:val="0"/>
      <w:divBdr>
        <w:top w:val="none" w:sz="0" w:space="0" w:color="auto"/>
        <w:left w:val="none" w:sz="0" w:space="0" w:color="auto"/>
        <w:bottom w:val="none" w:sz="0" w:space="0" w:color="auto"/>
        <w:right w:val="none" w:sz="0" w:space="0" w:color="auto"/>
      </w:divBdr>
      <w:divsChild>
        <w:div w:id="384716881">
          <w:marLeft w:val="0"/>
          <w:marRight w:val="0"/>
          <w:marTop w:val="0"/>
          <w:marBottom w:val="0"/>
          <w:divBdr>
            <w:top w:val="none" w:sz="0" w:space="0" w:color="auto"/>
            <w:left w:val="none" w:sz="0" w:space="0" w:color="auto"/>
            <w:bottom w:val="none" w:sz="0" w:space="0" w:color="auto"/>
            <w:right w:val="none" w:sz="0" w:space="0" w:color="auto"/>
          </w:divBdr>
        </w:div>
        <w:div w:id="1542329735">
          <w:marLeft w:val="0"/>
          <w:marRight w:val="0"/>
          <w:marTop w:val="0"/>
          <w:marBottom w:val="0"/>
          <w:divBdr>
            <w:top w:val="none" w:sz="0" w:space="0" w:color="auto"/>
            <w:left w:val="none" w:sz="0" w:space="0" w:color="auto"/>
            <w:bottom w:val="none" w:sz="0" w:space="0" w:color="auto"/>
            <w:right w:val="none" w:sz="0" w:space="0" w:color="auto"/>
          </w:divBdr>
        </w:div>
        <w:div w:id="1666515010">
          <w:marLeft w:val="0"/>
          <w:marRight w:val="0"/>
          <w:marTop w:val="0"/>
          <w:marBottom w:val="0"/>
          <w:divBdr>
            <w:top w:val="none" w:sz="0" w:space="0" w:color="auto"/>
            <w:left w:val="none" w:sz="0" w:space="0" w:color="auto"/>
            <w:bottom w:val="none" w:sz="0" w:space="0" w:color="auto"/>
            <w:right w:val="none" w:sz="0" w:space="0" w:color="auto"/>
          </w:divBdr>
        </w:div>
        <w:div w:id="1538352003">
          <w:marLeft w:val="0"/>
          <w:marRight w:val="0"/>
          <w:marTop w:val="0"/>
          <w:marBottom w:val="0"/>
          <w:divBdr>
            <w:top w:val="none" w:sz="0" w:space="0" w:color="auto"/>
            <w:left w:val="none" w:sz="0" w:space="0" w:color="auto"/>
            <w:bottom w:val="none" w:sz="0" w:space="0" w:color="auto"/>
            <w:right w:val="none" w:sz="0" w:space="0" w:color="auto"/>
          </w:divBdr>
        </w:div>
        <w:div w:id="1052844694">
          <w:marLeft w:val="0"/>
          <w:marRight w:val="0"/>
          <w:marTop w:val="0"/>
          <w:marBottom w:val="0"/>
          <w:divBdr>
            <w:top w:val="none" w:sz="0" w:space="0" w:color="auto"/>
            <w:left w:val="none" w:sz="0" w:space="0" w:color="auto"/>
            <w:bottom w:val="none" w:sz="0" w:space="0" w:color="auto"/>
            <w:right w:val="none" w:sz="0" w:space="0" w:color="auto"/>
          </w:divBdr>
        </w:div>
        <w:div w:id="1592934029">
          <w:marLeft w:val="0"/>
          <w:marRight w:val="0"/>
          <w:marTop w:val="0"/>
          <w:marBottom w:val="0"/>
          <w:divBdr>
            <w:top w:val="none" w:sz="0" w:space="0" w:color="auto"/>
            <w:left w:val="none" w:sz="0" w:space="0" w:color="auto"/>
            <w:bottom w:val="none" w:sz="0" w:space="0" w:color="auto"/>
            <w:right w:val="none" w:sz="0" w:space="0" w:color="auto"/>
          </w:divBdr>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5375">
      <w:bodyDiv w:val="1"/>
      <w:marLeft w:val="0"/>
      <w:marRight w:val="0"/>
      <w:marTop w:val="0"/>
      <w:marBottom w:val="0"/>
      <w:divBdr>
        <w:top w:val="none" w:sz="0" w:space="0" w:color="auto"/>
        <w:left w:val="none" w:sz="0" w:space="0" w:color="auto"/>
        <w:bottom w:val="none" w:sz="0" w:space="0" w:color="auto"/>
        <w:right w:val="none" w:sz="0" w:space="0" w:color="auto"/>
      </w:divBdr>
      <w:divsChild>
        <w:div w:id="892887662">
          <w:marLeft w:val="0"/>
          <w:marRight w:val="0"/>
          <w:marTop w:val="0"/>
          <w:marBottom w:val="0"/>
          <w:divBdr>
            <w:top w:val="none" w:sz="0" w:space="0" w:color="auto"/>
            <w:left w:val="none" w:sz="0" w:space="0" w:color="auto"/>
            <w:bottom w:val="none" w:sz="0" w:space="0" w:color="auto"/>
            <w:right w:val="none" w:sz="0" w:space="0" w:color="auto"/>
          </w:divBdr>
          <w:divsChild>
            <w:div w:id="1993177738">
              <w:marLeft w:val="150"/>
              <w:marRight w:val="150"/>
              <w:marTop w:val="0"/>
              <w:marBottom w:val="150"/>
              <w:divBdr>
                <w:top w:val="none" w:sz="0" w:space="0" w:color="auto"/>
                <w:left w:val="none" w:sz="0" w:space="0" w:color="auto"/>
                <w:bottom w:val="none" w:sz="0" w:space="0" w:color="auto"/>
                <w:right w:val="none" w:sz="0" w:space="0" w:color="auto"/>
              </w:divBdr>
              <w:divsChild>
                <w:div w:id="1267424259">
                  <w:marLeft w:val="0"/>
                  <w:marRight w:val="0"/>
                  <w:marTop w:val="0"/>
                  <w:marBottom w:val="0"/>
                  <w:divBdr>
                    <w:top w:val="none" w:sz="0" w:space="0" w:color="auto"/>
                    <w:left w:val="none" w:sz="0" w:space="0" w:color="auto"/>
                    <w:bottom w:val="none" w:sz="0" w:space="0" w:color="auto"/>
                    <w:right w:val="none" w:sz="0" w:space="0" w:color="auto"/>
                  </w:divBdr>
                  <w:divsChild>
                    <w:div w:id="308826320">
                      <w:marLeft w:val="0"/>
                      <w:marRight w:val="0"/>
                      <w:marTop w:val="0"/>
                      <w:marBottom w:val="0"/>
                      <w:divBdr>
                        <w:top w:val="none" w:sz="0" w:space="0" w:color="auto"/>
                        <w:left w:val="none" w:sz="0" w:space="0" w:color="auto"/>
                        <w:bottom w:val="none" w:sz="0" w:space="0" w:color="auto"/>
                        <w:right w:val="none" w:sz="0" w:space="0" w:color="auto"/>
                      </w:divBdr>
                      <w:divsChild>
                        <w:div w:id="331225163">
                          <w:marLeft w:val="0"/>
                          <w:marRight w:val="0"/>
                          <w:marTop w:val="0"/>
                          <w:marBottom w:val="0"/>
                          <w:divBdr>
                            <w:top w:val="none" w:sz="0" w:space="0" w:color="auto"/>
                            <w:left w:val="none" w:sz="0" w:space="0" w:color="auto"/>
                            <w:bottom w:val="none" w:sz="0" w:space="0" w:color="auto"/>
                            <w:right w:val="none" w:sz="0" w:space="0" w:color="auto"/>
                          </w:divBdr>
                          <w:divsChild>
                            <w:div w:id="1685746073">
                              <w:marLeft w:val="0"/>
                              <w:marRight w:val="0"/>
                              <w:marTop w:val="0"/>
                              <w:marBottom w:val="0"/>
                              <w:divBdr>
                                <w:top w:val="none" w:sz="0" w:space="0" w:color="auto"/>
                                <w:left w:val="none" w:sz="0" w:space="0" w:color="auto"/>
                                <w:bottom w:val="none" w:sz="0" w:space="0" w:color="auto"/>
                                <w:right w:val="none" w:sz="0" w:space="0" w:color="auto"/>
                              </w:divBdr>
                              <w:divsChild>
                                <w:div w:id="177938498">
                                  <w:marLeft w:val="0"/>
                                  <w:marRight w:val="0"/>
                                  <w:marTop w:val="0"/>
                                  <w:marBottom w:val="0"/>
                                  <w:divBdr>
                                    <w:top w:val="none" w:sz="0" w:space="0" w:color="auto"/>
                                    <w:left w:val="none" w:sz="0" w:space="0" w:color="auto"/>
                                    <w:bottom w:val="none" w:sz="0" w:space="0" w:color="auto"/>
                                    <w:right w:val="none" w:sz="0" w:space="0" w:color="auto"/>
                                  </w:divBdr>
                                </w:div>
                                <w:div w:id="58410101">
                                  <w:marLeft w:val="0"/>
                                  <w:marRight w:val="0"/>
                                  <w:marTop w:val="0"/>
                                  <w:marBottom w:val="0"/>
                                  <w:divBdr>
                                    <w:top w:val="none" w:sz="0" w:space="0" w:color="auto"/>
                                    <w:left w:val="none" w:sz="0" w:space="0" w:color="auto"/>
                                    <w:bottom w:val="none" w:sz="0" w:space="0" w:color="auto"/>
                                    <w:right w:val="none" w:sz="0" w:space="0" w:color="auto"/>
                                  </w:divBdr>
                                </w:div>
                                <w:div w:id="1900285665">
                                  <w:marLeft w:val="0"/>
                                  <w:marRight w:val="0"/>
                                  <w:marTop w:val="0"/>
                                  <w:marBottom w:val="0"/>
                                  <w:divBdr>
                                    <w:top w:val="none" w:sz="0" w:space="0" w:color="auto"/>
                                    <w:left w:val="none" w:sz="0" w:space="0" w:color="auto"/>
                                    <w:bottom w:val="none" w:sz="0" w:space="0" w:color="auto"/>
                                    <w:right w:val="none" w:sz="0" w:space="0" w:color="auto"/>
                                  </w:divBdr>
                                </w:div>
                                <w:div w:id="1401251630">
                                  <w:marLeft w:val="0"/>
                                  <w:marRight w:val="0"/>
                                  <w:marTop w:val="0"/>
                                  <w:marBottom w:val="0"/>
                                  <w:divBdr>
                                    <w:top w:val="none" w:sz="0" w:space="0" w:color="auto"/>
                                    <w:left w:val="none" w:sz="0" w:space="0" w:color="auto"/>
                                    <w:bottom w:val="none" w:sz="0" w:space="0" w:color="auto"/>
                                    <w:right w:val="none" w:sz="0" w:space="0" w:color="auto"/>
                                  </w:divBdr>
                                </w:div>
                                <w:div w:id="1753350575">
                                  <w:marLeft w:val="0"/>
                                  <w:marRight w:val="0"/>
                                  <w:marTop w:val="0"/>
                                  <w:marBottom w:val="0"/>
                                  <w:divBdr>
                                    <w:top w:val="none" w:sz="0" w:space="0" w:color="auto"/>
                                    <w:left w:val="none" w:sz="0" w:space="0" w:color="auto"/>
                                    <w:bottom w:val="none" w:sz="0" w:space="0" w:color="auto"/>
                                    <w:right w:val="none" w:sz="0" w:space="0" w:color="auto"/>
                                  </w:divBdr>
                                </w:div>
                                <w:div w:id="458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98220">
      <w:bodyDiv w:val="1"/>
      <w:marLeft w:val="0"/>
      <w:marRight w:val="0"/>
      <w:marTop w:val="0"/>
      <w:marBottom w:val="0"/>
      <w:divBdr>
        <w:top w:val="none" w:sz="0" w:space="0" w:color="auto"/>
        <w:left w:val="none" w:sz="0" w:space="0" w:color="auto"/>
        <w:bottom w:val="none" w:sz="0" w:space="0" w:color="auto"/>
        <w:right w:val="none" w:sz="0" w:space="0" w:color="auto"/>
      </w:divBdr>
      <w:divsChild>
        <w:div w:id="25564707">
          <w:marLeft w:val="0"/>
          <w:marRight w:val="0"/>
          <w:marTop w:val="0"/>
          <w:marBottom w:val="0"/>
          <w:divBdr>
            <w:top w:val="none" w:sz="0" w:space="0" w:color="auto"/>
            <w:left w:val="none" w:sz="0" w:space="0" w:color="auto"/>
            <w:bottom w:val="none" w:sz="0" w:space="0" w:color="auto"/>
            <w:right w:val="none" w:sz="0" w:space="0" w:color="auto"/>
          </w:divBdr>
          <w:divsChild>
            <w:div w:id="1123575548">
              <w:marLeft w:val="150"/>
              <w:marRight w:val="150"/>
              <w:marTop w:val="0"/>
              <w:marBottom w:val="150"/>
              <w:divBdr>
                <w:top w:val="none" w:sz="0" w:space="0" w:color="auto"/>
                <w:left w:val="none" w:sz="0" w:space="0" w:color="auto"/>
                <w:bottom w:val="none" w:sz="0" w:space="0" w:color="auto"/>
                <w:right w:val="none" w:sz="0" w:space="0" w:color="auto"/>
              </w:divBdr>
              <w:divsChild>
                <w:div w:id="838544979">
                  <w:marLeft w:val="0"/>
                  <w:marRight w:val="0"/>
                  <w:marTop w:val="0"/>
                  <w:marBottom w:val="0"/>
                  <w:divBdr>
                    <w:top w:val="none" w:sz="0" w:space="0" w:color="auto"/>
                    <w:left w:val="none" w:sz="0" w:space="0" w:color="auto"/>
                    <w:bottom w:val="none" w:sz="0" w:space="0" w:color="auto"/>
                    <w:right w:val="none" w:sz="0" w:space="0" w:color="auto"/>
                  </w:divBdr>
                  <w:divsChild>
                    <w:div w:id="2007005871">
                      <w:marLeft w:val="0"/>
                      <w:marRight w:val="0"/>
                      <w:marTop w:val="0"/>
                      <w:marBottom w:val="0"/>
                      <w:divBdr>
                        <w:top w:val="none" w:sz="0" w:space="0" w:color="auto"/>
                        <w:left w:val="none" w:sz="0" w:space="0" w:color="auto"/>
                        <w:bottom w:val="none" w:sz="0" w:space="0" w:color="auto"/>
                        <w:right w:val="none" w:sz="0" w:space="0" w:color="auto"/>
                      </w:divBdr>
                      <w:divsChild>
                        <w:div w:id="1040015136">
                          <w:marLeft w:val="0"/>
                          <w:marRight w:val="0"/>
                          <w:marTop w:val="0"/>
                          <w:marBottom w:val="0"/>
                          <w:divBdr>
                            <w:top w:val="none" w:sz="0" w:space="0" w:color="auto"/>
                            <w:left w:val="none" w:sz="0" w:space="0" w:color="auto"/>
                            <w:bottom w:val="none" w:sz="0" w:space="0" w:color="auto"/>
                            <w:right w:val="none" w:sz="0" w:space="0" w:color="auto"/>
                          </w:divBdr>
                          <w:divsChild>
                            <w:div w:id="1701129698">
                              <w:marLeft w:val="0"/>
                              <w:marRight w:val="0"/>
                              <w:marTop w:val="0"/>
                              <w:marBottom w:val="0"/>
                              <w:divBdr>
                                <w:top w:val="none" w:sz="0" w:space="0" w:color="auto"/>
                                <w:left w:val="none" w:sz="0" w:space="0" w:color="auto"/>
                                <w:bottom w:val="none" w:sz="0" w:space="0" w:color="auto"/>
                                <w:right w:val="none" w:sz="0" w:space="0" w:color="auto"/>
                              </w:divBdr>
                              <w:divsChild>
                                <w:div w:id="1216236342">
                                  <w:marLeft w:val="0"/>
                                  <w:marRight w:val="0"/>
                                  <w:marTop w:val="0"/>
                                  <w:marBottom w:val="0"/>
                                  <w:divBdr>
                                    <w:top w:val="none" w:sz="0" w:space="0" w:color="auto"/>
                                    <w:left w:val="none" w:sz="0" w:space="0" w:color="auto"/>
                                    <w:bottom w:val="none" w:sz="0" w:space="0" w:color="auto"/>
                                    <w:right w:val="none" w:sz="0" w:space="0" w:color="auto"/>
                                  </w:divBdr>
                                </w:div>
                                <w:div w:id="2126390187">
                                  <w:marLeft w:val="0"/>
                                  <w:marRight w:val="0"/>
                                  <w:marTop w:val="0"/>
                                  <w:marBottom w:val="0"/>
                                  <w:divBdr>
                                    <w:top w:val="none" w:sz="0" w:space="0" w:color="auto"/>
                                    <w:left w:val="none" w:sz="0" w:space="0" w:color="auto"/>
                                    <w:bottom w:val="none" w:sz="0" w:space="0" w:color="auto"/>
                                    <w:right w:val="none" w:sz="0" w:space="0" w:color="auto"/>
                                  </w:divBdr>
                                </w:div>
                                <w:div w:id="2089496844">
                                  <w:marLeft w:val="0"/>
                                  <w:marRight w:val="0"/>
                                  <w:marTop w:val="0"/>
                                  <w:marBottom w:val="0"/>
                                  <w:divBdr>
                                    <w:top w:val="none" w:sz="0" w:space="0" w:color="auto"/>
                                    <w:left w:val="none" w:sz="0" w:space="0" w:color="auto"/>
                                    <w:bottom w:val="none" w:sz="0" w:space="0" w:color="auto"/>
                                    <w:right w:val="none" w:sz="0" w:space="0" w:color="auto"/>
                                  </w:divBdr>
                                </w:div>
                                <w:div w:id="6017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8898">
      <w:bodyDiv w:val="1"/>
      <w:marLeft w:val="0"/>
      <w:marRight w:val="0"/>
      <w:marTop w:val="0"/>
      <w:marBottom w:val="0"/>
      <w:divBdr>
        <w:top w:val="none" w:sz="0" w:space="0" w:color="auto"/>
        <w:left w:val="none" w:sz="0" w:space="0" w:color="auto"/>
        <w:bottom w:val="none" w:sz="0" w:space="0" w:color="auto"/>
        <w:right w:val="none" w:sz="0" w:space="0" w:color="auto"/>
      </w:divBdr>
      <w:divsChild>
        <w:div w:id="1868368308">
          <w:marLeft w:val="0"/>
          <w:marRight w:val="0"/>
          <w:marTop w:val="0"/>
          <w:marBottom w:val="0"/>
          <w:divBdr>
            <w:top w:val="none" w:sz="0" w:space="0" w:color="auto"/>
            <w:left w:val="none" w:sz="0" w:space="0" w:color="auto"/>
            <w:bottom w:val="none" w:sz="0" w:space="0" w:color="auto"/>
            <w:right w:val="none" w:sz="0" w:space="0" w:color="auto"/>
          </w:divBdr>
          <w:divsChild>
            <w:div w:id="80955847">
              <w:marLeft w:val="150"/>
              <w:marRight w:val="150"/>
              <w:marTop w:val="0"/>
              <w:marBottom w:val="150"/>
              <w:divBdr>
                <w:top w:val="none" w:sz="0" w:space="0" w:color="auto"/>
                <w:left w:val="none" w:sz="0" w:space="0" w:color="auto"/>
                <w:bottom w:val="none" w:sz="0" w:space="0" w:color="auto"/>
                <w:right w:val="none" w:sz="0" w:space="0" w:color="auto"/>
              </w:divBdr>
              <w:divsChild>
                <w:div w:id="2097558415">
                  <w:marLeft w:val="0"/>
                  <w:marRight w:val="0"/>
                  <w:marTop w:val="0"/>
                  <w:marBottom w:val="0"/>
                  <w:divBdr>
                    <w:top w:val="none" w:sz="0" w:space="0" w:color="auto"/>
                    <w:left w:val="none" w:sz="0" w:space="0" w:color="auto"/>
                    <w:bottom w:val="none" w:sz="0" w:space="0" w:color="auto"/>
                    <w:right w:val="none" w:sz="0" w:space="0" w:color="auto"/>
                  </w:divBdr>
                  <w:divsChild>
                    <w:div w:id="1120685225">
                      <w:marLeft w:val="0"/>
                      <w:marRight w:val="0"/>
                      <w:marTop w:val="0"/>
                      <w:marBottom w:val="0"/>
                      <w:divBdr>
                        <w:top w:val="none" w:sz="0" w:space="0" w:color="auto"/>
                        <w:left w:val="none" w:sz="0" w:space="0" w:color="auto"/>
                        <w:bottom w:val="none" w:sz="0" w:space="0" w:color="auto"/>
                        <w:right w:val="none" w:sz="0" w:space="0" w:color="auto"/>
                      </w:divBdr>
                      <w:divsChild>
                        <w:div w:id="1770345109">
                          <w:marLeft w:val="0"/>
                          <w:marRight w:val="0"/>
                          <w:marTop w:val="0"/>
                          <w:marBottom w:val="0"/>
                          <w:divBdr>
                            <w:top w:val="none" w:sz="0" w:space="0" w:color="auto"/>
                            <w:left w:val="none" w:sz="0" w:space="0" w:color="auto"/>
                            <w:bottom w:val="none" w:sz="0" w:space="0" w:color="auto"/>
                            <w:right w:val="none" w:sz="0" w:space="0" w:color="auto"/>
                          </w:divBdr>
                          <w:divsChild>
                            <w:div w:id="1039889532">
                              <w:marLeft w:val="0"/>
                              <w:marRight w:val="0"/>
                              <w:marTop w:val="0"/>
                              <w:marBottom w:val="0"/>
                              <w:divBdr>
                                <w:top w:val="none" w:sz="0" w:space="0" w:color="auto"/>
                                <w:left w:val="none" w:sz="0" w:space="0" w:color="auto"/>
                                <w:bottom w:val="none" w:sz="0" w:space="0" w:color="auto"/>
                                <w:right w:val="none" w:sz="0" w:space="0" w:color="auto"/>
                              </w:divBdr>
                              <w:divsChild>
                                <w:div w:id="2124305023">
                                  <w:marLeft w:val="0"/>
                                  <w:marRight w:val="0"/>
                                  <w:marTop w:val="0"/>
                                  <w:marBottom w:val="0"/>
                                  <w:divBdr>
                                    <w:top w:val="none" w:sz="0" w:space="0" w:color="auto"/>
                                    <w:left w:val="none" w:sz="0" w:space="0" w:color="auto"/>
                                    <w:bottom w:val="none" w:sz="0" w:space="0" w:color="auto"/>
                                    <w:right w:val="none" w:sz="0" w:space="0" w:color="auto"/>
                                  </w:divBdr>
                                </w:div>
                                <w:div w:id="2060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94650">
      <w:bodyDiv w:val="1"/>
      <w:marLeft w:val="0"/>
      <w:marRight w:val="0"/>
      <w:marTop w:val="0"/>
      <w:marBottom w:val="0"/>
      <w:divBdr>
        <w:top w:val="none" w:sz="0" w:space="0" w:color="auto"/>
        <w:left w:val="none" w:sz="0" w:space="0" w:color="auto"/>
        <w:bottom w:val="none" w:sz="0" w:space="0" w:color="auto"/>
        <w:right w:val="none" w:sz="0" w:space="0" w:color="auto"/>
      </w:divBdr>
      <w:divsChild>
        <w:div w:id="90125308">
          <w:marLeft w:val="0"/>
          <w:marRight w:val="0"/>
          <w:marTop w:val="0"/>
          <w:marBottom w:val="0"/>
          <w:divBdr>
            <w:top w:val="none" w:sz="0" w:space="0" w:color="auto"/>
            <w:left w:val="none" w:sz="0" w:space="0" w:color="auto"/>
            <w:bottom w:val="none" w:sz="0" w:space="0" w:color="auto"/>
            <w:right w:val="none" w:sz="0" w:space="0" w:color="auto"/>
          </w:divBdr>
          <w:divsChild>
            <w:div w:id="1662804719">
              <w:marLeft w:val="150"/>
              <w:marRight w:val="150"/>
              <w:marTop w:val="0"/>
              <w:marBottom w:val="150"/>
              <w:divBdr>
                <w:top w:val="none" w:sz="0" w:space="0" w:color="auto"/>
                <w:left w:val="none" w:sz="0" w:space="0" w:color="auto"/>
                <w:bottom w:val="none" w:sz="0" w:space="0" w:color="auto"/>
                <w:right w:val="none" w:sz="0" w:space="0" w:color="auto"/>
              </w:divBdr>
              <w:divsChild>
                <w:div w:id="529144990">
                  <w:marLeft w:val="0"/>
                  <w:marRight w:val="0"/>
                  <w:marTop w:val="0"/>
                  <w:marBottom w:val="0"/>
                  <w:divBdr>
                    <w:top w:val="none" w:sz="0" w:space="0" w:color="auto"/>
                    <w:left w:val="none" w:sz="0" w:space="0" w:color="auto"/>
                    <w:bottom w:val="none" w:sz="0" w:space="0" w:color="auto"/>
                    <w:right w:val="none" w:sz="0" w:space="0" w:color="auto"/>
                  </w:divBdr>
                  <w:divsChild>
                    <w:div w:id="893780372">
                      <w:marLeft w:val="0"/>
                      <w:marRight w:val="0"/>
                      <w:marTop w:val="0"/>
                      <w:marBottom w:val="0"/>
                      <w:divBdr>
                        <w:top w:val="none" w:sz="0" w:space="0" w:color="auto"/>
                        <w:left w:val="none" w:sz="0" w:space="0" w:color="auto"/>
                        <w:bottom w:val="none" w:sz="0" w:space="0" w:color="auto"/>
                        <w:right w:val="none" w:sz="0" w:space="0" w:color="auto"/>
                      </w:divBdr>
                      <w:divsChild>
                        <w:div w:id="23095945">
                          <w:marLeft w:val="0"/>
                          <w:marRight w:val="0"/>
                          <w:marTop w:val="0"/>
                          <w:marBottom w:val="0"/>
                          <w:divBdr>
                            <w:top w:val="none" w:sz="0" w:space="0" w:color="auto"/>
                            <w:left w:val="none" w:sz="0" w:space="0" w:color="auto"/>
                            <w:bottom w:val="none" w:sz="0" w:space="0" w:color="auto"/>
                            <w:right w:val="none" w:sz="0" w:space="0" w:color="auto"/>
                          </w:divBdr>
                          <w:divsChild>
                            <w:div w:id="1059324955">
                              <w:marLeft w:val="0"/>
                              <w:marRight w:val="0"/>
                              <w:marTop w:val="0"/>
                              <w:marBottom w:val="0"/>
                              <w:divBdr>
                                <w:top w:val="none" w:sz="0" w:space="0" w:color="auto"/>
                                <w:left w:val="none" w:sz="0" w:space="0" w:color="auto"/>
                                <w:bottom w:val="none" w:sz="0" w:space="0" w:color="auto"/>
                                <w:right w:val="none" w:sz="0" w:space="0" w:color="auto"/>
                              </w:divBdr>
                              <w:divsChild>
                                <w:div w:id="107938583">
                                  <w:marLeft w:val="0"/>
                                  <w:marRight w:val="0"/>
                                  <w:marTop w:val="0"/>
                                  <w:marBottom w:val="0"/>
                                  <w:divBdr>
                                    <w:top w:val="none" w:sz="0" w:space="0" w:color="auto"/>
                                    <w:left w:val="none" w:sz="0" w:space="0" w:color="auto"/>
                                    <w:bottom w:val="none" w:sz="0" w:space="0" w:color="auto"/>
                                    <w:right w:val="none" w:sz="0" w:space="0" w:color="auto"/>
                                  </w:divBdr>
                                </w:div>
                                <w:div w:id="5435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176">
      <w:bodyDiv w:val="1"/>
      <w:marLeft w:val="0"/>
      <w:marRight w:val="0"/>
      <w:marTop w:val="0"/>
      <w:marBottom w:val="0"/>
      <w:divBdr>
        <w:top w:val="none" w:sz="0" w:space="0" w:color="auto"/>
        <w:left w:val="none" w:sz="0" w:space="0" w:color="auto"/>
        <w:bottom w:val="none" w:sz="0" w:space="0" w:color="auto"/>
        <w:right w:val="none" w:sz="0" w:space="0" w:color="auto"/>
      </w:divBdr>
      <w:divsChild>
        <w:div w:id="1132018411">
          <w:marLeft w:val="0"/>
          <w:marRight w:val="0"/>
          <w:marTop w:val="0"/>
          <w:marBottom w:val="0"/>
          <w:divBdr>
            <w:top w:val="none" w:sz="0" w:space="0" w:color="auto"/>
            <w:left w:val="none" w:sz="0" w:space="0" w:color="auto"/>
            <w:bottom w:val="none" w:sz="0" w:space="0" w:color="auto"/>
            <w:right w:val="none" w:sz="0" w:space="0" w:color="auto"/>
          </w:divBdr>
          <w:divsChild>
            <w:div w:id="908075612">
              <w:marLeft w:val="150"/>
              <w:marRight w:val="150"/>
              <w:marTop w:val="0"/>
              <w:marBottom w:val="150"/>
              <w:divBdr>
                <w:top w:val="none" w:sz="0" w:space="0" w:color="auto"/>
                <w:left w:val="none" w:sz="0" w:space="0" w:color="auto"/>
                <w:bottom w:val="none" w:sz="0" w:space="0" w:color="auto"/>
                <w:right w:val="none" w:sz="0" w:space="0" w:color="auto"/>
              </w:divBdr>
              <w:divsChild>
                <w:div w:id="350880486">
                  <w:marLeft w:val="0"/>
                  <w:marRight w:val="0"/>
                  <w:marTop w:val="0"/>
                  <w:marBottom w:val="0"/>
                  <w:divBdr>
                    <w:top w:val="none" w:sz="0" w:space="0" w:color="auto"/>
                    <w:left w:val="none" w:sz="0" w:space="0" w:color="auto"/>
                    <w:bottom w:val="none" w:sz="0" w:space="0" w:color="auto"/>
                    <w:right w:val="none" w:sz="0" w:space="0" w:color="auto"/>
                  </w:divBdr>
                  <w:divsChild>
                    <w:div w:id="1187645895">
                      <w:marLeft w:val="0"/>
                      <w:marRight w:val="0"/>
                      <w:marTop w:val="0"/>
                      <w:marBottom w:val="0"/>
                      <w:divBdr>
                        <w:top w:val="none" w:sz="0" w:space="0" w:color="auto"/>
                        <w:left w:val="none" w:sz="0" w:space="0" w:color="auto"/>
                        <w:bottom w:val="none" w:sz="0" w:space="0" w:color="auto"/>
                        <w:right w:val="none" w:sz="0" w:space="0" w:color="auto"/>
                      </w:divBdr>
                      <w:divsChild>
                        <w:div w:id="1127436028">
                          <w:marLeft w:val="0"/>
                          <w:marRight w:val="0"/>
                          <w:marTop w:val="0"/>
                          <w:marBottom w:val="0"/>
                          <w:divBdr>
                            <w:top w:val="none" w:sz="0" w:space="0" w:color="auto"/>
                            <w:left w:val="none" w:sz="0" w:space="0" w:color="auto"/>
                            <w:bottom w:val="none" w:sz="0" w:space="0" w:color="auto"/>
                            <w:right w:val="none" w:sz="0" w:space="0" w:color="auto"/>
                          </w:divBdr>
                          <w:divsChild>
                            <w:div w:id="1044521207">
                              <w:marLeft w:val="0"/>
                              <w:marRight w:val="0"/>
                              <w:marTop w:val="0"/>
                              <w:marBottom w:val="0"/>
                              <w:divBdr>
                                <w:top w:val="none" w:sz="0" w:space="0" w:color="auto"/>
                                <w:left w:val="none" w:sz="0" w:space="0" w:color="auto"/>
                                <w:bottom w:val="none" w:sz="0" w:space="0" w:color="auto"/>
                                <w:right w:val="none" w:sz="0" w:space="0" w:color="auto"/>
                              </w:divBdr>
                              <w:divsChild>
                                <w:div w:id="54743366">
                                  <w:marLeft w:val="0"/>
                                  <w:marRight w:val="0"/>
                                  <w:marTop w:val="0"/>
                                  <w:marBottom w:val="0"/>
                                  <w:divBdr>
                                    <w:top w:val="none" w:sz="0" w:space="0" w:color="auto"/>
                                    <w:left w:val="none" w:sz="0" w:space="0" w:color="auto"/>
                                    <w:bottom w:val="none" w:sz="0" w:space="0" w:color="auto"/>
                                    <w:right w:val="none" w:sz="0" w:space="0" w:color="auto"/>
                                  </w:divBdr>
                                </w:div>
                                <w:div w:id="60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6772">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6">
          <w:marLeft w:val="0"/>
          <w:marRight w:val="0"/>
          <w:marTop w:val="0"/>
          <w:marBottom w:val="0"/>
          <w:divBdr>
            <w:top w:val="none" w:sz="0" w:space="0" w:color="auto"/>
            <w:left w:val="none" w:sz="0" w:space="0" w:color="auto"/>
            <w:bottom w:val="none" w:sz="0" w:space="0" w:color="auto"/>
            <w:right w:val="none" w:sz="0" w:space="0" w:color="auto"/>
          </w:divBdr>
          <w:divsChild>
            <w:div w:id="137654583">
              <w:marLeft w:val="150"/>
              <w:marRight w:val="150"/>
              <w:marTop w:val="0"/>
              <w:marBottom w:val="150"/>
              <w:divBdr>
                <w:top w:val="none" w:sz="0" w:space="0" w:color="auto"/>
                <w:left w:val="none" w:sz="0" w:space="0" w:color="auto"/>
                <w:bottom w:val="none" w:sz="0" w:space="0" w:color="auto"/>
                <w:right w:val="none" w:sz="0" w:space="0" w:color="auto"/>
              </w:divBdr>
              <w:divsChild>
                <w:div w:id="750003816">
                  <w:marLeft w:val="0"/>
                  <w:marRight w:val="0"/>
                  <w:marTop w:val="0"/>
                  <w:marBottom w:val="0"/>
                  <w:divBdr>
                    <w:top w:val="none" w:sz="0" w:space="0" w:color="auto"/>
                    <w:left w:val="none" w:sz="0" w:space="0" w:color="auto"/>
                    <w:bottom w:val="none" w:sz="0" w:space="0" w:color="auto"/>
                    <w:right w:val="none" w:sz="0" w:space="0" w:color="auto"/>
                  </w:divBdr>
                  <w:divsChild>
                    <w:div w:id="1379889648">
                      <w:marLeft w:val="0"/>
                      <w:marRight w:val="0"/>
                      <w:marTop w:val="0"/>
                      <w:marBottom w:val="0"/>
                      <w:divBdr>
                        <w:top w:val="none" w:sz="0" w:space="0" w:color="auto"/>
                        <w:left w:val="none" w:sz="0" w:space="0" w:color="auto"/>
                        <w:bottom w:val="none" w:sz="0" w:space="0" w:color="auto"/>
                        <w:right w:val="none" w:sz="0" w:space="0" w:color="auto"/>
                      </w:divBdr>
                      <w:divsChild>
                        <w:div w:id="1570143123">
                          <w:marLeft w:val="0"/>
                          <w:marRight w:val="0"/>
                          <w:marTop w:val="0"/>
                          <w:marBottom w:val="0"/>
                          <w:divBdr>
                            <w:top w:val="none" w:sz="0" w:space="0" w:color="auto"/>
                            <w:left w:val="none" w:sz="0" w:space="0" w:color="auto"/>
                            <w:bottom w:val="none" w:sz="0" w:space="0" w:color="auto"/>
                            <w:right w:val="none" w:sz="0" w:space="0" w:color="auto"/>
                          </w:divBdr>
                          <w:divsChild>
                            <w:div w:id="1459254509">
                              <w:marLeft w:val="0"/>
                              <w:marRight w:val="0"/>
                              <w:marTop w:val="0"/>
                              <w:marBottom w:val="0"/>
                              <w:divBdr>
                                <w:top w:val="none" w:sz="0" w:space="0" w:color="auto"/>
                                <w:left w:val="none" w:sz="0" w:space="0" w:color="auto"/>
                                <w:bottom w:val="none" w:sz="0" w:space="0" w:color="auto"/>
                                <w:right w:val="none" w:sz="0" w:space="0" w:color="auto"/>
                              </w:divBdr>
                              <w:divsChild>
                                <w:div w:id="893585028">
                                  <w:marLeft w:val="0"/>
                                  <w:marRight w:val="0"/>
                                  <w:marTop w:val="0"/>
                                  <w:marBottom w:val="0"/>
                                  <w:divBdr>
                                    <w:top w:val="none" w:sz="0" w:space="0" w:color="auto"/>
                                    <w:left w:val="none" w:sz="0" w:space="0" w:color="auto"/>
                                    <w:bottom w:val="none" w:sz="0" w:space="0" w:color="auto"/>
                                    <w:right w:val="none" w:sz="0" w:space="0" w:color="auto"/>
                                  </w:divBdr>
                                </w:div>
                                <w:div w:id="280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7572">
      <w:bodyDiv w:val="1"/>
      <w:marLeft w:val="0"/>
      <w:marRight w:val="0"/>
      <w:marTop w:val="0"/>
      <w:marBottom w:val="0"/>
      <w:divBdr>
        <w:top w:val="none" w:sz="0" w:space="0" w:color="auto"/>
        <w:left w:val="none" w:sz="0" w:space="0" w:color="auto"/>
        <w:bottom w:val="none" w:sz="0" w:space="0" w:color="auto"/>
        <w:right w:val="none" w:sz="0" w:space="0" w:color="auto"/>
      </w:divBdr>
      <w:divsChild>
        <w:div w:id="1863201097">
          <w:marLeft w:val="0"/>
          <w:marRight w:val="0"/>
          <w:marTop w:val="0"/>
          <w:marBottom w:val="0"/>
          <w:divBdr>
            <w:top w:val="none" w:sz="0" w:space="0" w:color="auto"/>
            <w:left w:val="none" w:sz="0" w:space="0" w:color="auto"/>
            <w:bottom w:val="none" w:sz="0" w:space="0" w:color="auto"/>
            <w:right w:val="none" w:sz="0" w:space="0" w:color="auto"/>
          </w:divBdr>
          <w:divsChild>
            <w:div w:id="848298266">
              <w:marLeft w:val="150"/>
              <w:marRight w:val="150"/>
              <w:marTop w:val="0"/>
              <w:marBottom w:val="150"/>
              <w:divBdr>
                <w:top w:val="none" w:sz="0" w:space="0" w:color="auto"/>
                <w:left w:val="none" w:sz="0" w:space="0" w:color="auto"/>
                <w:bottom w:val="none" w:sz="0" w:space="0" w:color="auto"/>
                <w:right w:val="none" w:sz="0" w:space="0" w:color="auto"/>
              </w:divBdr>
              <w:divsChild>
                <w:div w:id="2126846615">
                  <w:marLeft w:val="0"/>
                  <w:marRight w:val="0"/>
                  <w:marTop w:val="0"/>
                  <w:marBottom w:val="0"/>
                  <w:divBdr>
                    <w:top w:val="none" w:sz="0" w:space="0" w:color="auto"/>
                    <w:left w:val="none" w:sz="0" w:space="0" w:color="auto"/>
                    <w:bottom w:val="none" w:sz="0" w:space="0" w:color="auto"/>
                    <w:right w:val="none" w:sz="0" w:space="0" w:color="auto"/>
                  </w:divBdr>
                  <w:divsChild>
                    <w:div w:id="1560165971">
                      <w:marLeft w:val="0"/>
                      <w:marRight w:val="0"/>
                      <w:marTop w:val="0"/>
                      <w:marBottom w:val="0"/>
                      <w:divBdr>
                        <w:top w:val="none" w:sz="0" w:space="0" w:color="auto"/>
                        <w:left w:val="none" w:sz="0" w:space="0" w:color="auto"/>
                        <w:bottom w:val="none" w:sz="0" w:space="0" w:color="auto"/>
                        <w:right w:val="none" w:sz="0" w:space="0" w:color="auto"/>
                      </w:divBdr>
                      <w:divsChild>
                        <w:div w:id="1788501371">
                          <w:marLeft w:val="0"/>
                          <w:marRight w:val="0"/>
                          <w:marTop w:val="0"/>
                          <w:marBottom w:val="0"/>
                          <w:divBdr>
                            <w:top w:val="none" w:sz="0" w:space="0" w:color="auto"/>
                            <w:left w:val="none" w:sz="0" w:space="0" w:color="auto"/>
                            <w:bottom w:val="none" w:sz="0" w:space="0" w:color="auto"/>
                            <w:right w:val="none" w:sz="0" w:space="0" w:color="auto"/>
                          </w:divBdr>
                          <w:divsChild>
                            <w:div w:id="854613424">
                              <w:marLeft w:val="0"/>
                              <w:marRight w:val="0"/>
                              <w:marTop w:val="0"/>
                              <w:marBottom w:val="0"/>
                              <w:divBdr>
                                <w:top w:val="none" w:sz="0" w:space="0" w:color="auto"/>
                                <w:left w:val="none" w:sz="0" w:space="0" w:color="auto"/>
                                <w:bottom w:val="none" w:sz="0" w:space="0" w:color="auto"/>
                                <w:right w:val="none" w:sz="0" w:space="0" w:color="auto"/>
                              </w:divBdr>
                              <w:divsChild>
                                <w:div w:id="252738944">
                                  <w:marLeft w:val="0"/>
                                  <w:marRight w:val="0"/>
                                  <w:marTop w:val="0"/>
                                  <w:marBottom w:val="0"/>
                                  <w:divBdr>
                                    <w:top w:val="none" w:sz="0" w:space="0" w:color="auto"/>
                                    <w:left w:val="none" w:sz="0" w:space="0" w:color="auto"/>
                                    <w:bottom w:val="none" w:sz="0" w:space="0" w:color="auto"/>
                                    <w:right w:val="none" w:sz="0" w:space="0" w:color="auto"/>
                                  </w:divBdr>
                                </w:div>
                                <w:div w:id="1462460087">
                                  <w:marLeft w:val="0"/>
                                  <w:marRight w:val="0"/>
                                  <w:marTop w:val="0"/>
                                  <w:marBottom w:val="0"/>
                                  <w:divBdr>
                                    <w:top w:val="none" w:sz="0" w:space="0" w:color="auto"/>
                                    <w:left w:val="none" w:sz="0" w:space="0" w:color="auto"/>
                                    <w:bottom w:val="none" w:sz="0" w:space="0" w:color="auto"/>
                                    <w:right w:val="none" w:sz="0" w:space="0" w:color="auto"/>
                                  </w:divBdr>
                                </w:div>
                                <w:div w:id="805463844">
                                  <w:marLeft w:val="0"/>
                                  <w:marRight w:val="0"/>
                                  <w:marTop w:val="0"/>
                                  <w:marBottom w:val="0"/>
                                  <w:divBdr>
                                    <w:top w:val="none" w:sz="0" w:space="0" w:color="auto"/>
                                    <w:left w:val="none" w:sz="0" w:space="0" w:color="auto"/>
                                    <w:bottom w:val="none" w:sz="0" w:space="0" w:color="auto"/>
                                    <w:right w:val="none" w:sz="0" w:space="0" w:color="auto"/>
                                  </w:divBdr>
                                </w:div>
                                <w:div w:id="2037921515">
                                  <w:marLeft w:val="0"/>
                                  <w:marRight w:val="0"/>
                                  <w:marTop w:val="0"/>
                                  <w:marBottom w:val="0"/>
                                  <w:divBdr>
                                    <w:top w:val="none" w:sz="0" w:space="0" w:color="auto"/>
                                    <w:left w:val="none" w:sz="0" w:space="0" w:color="auto"/>
                                    <w:bottom w:val="none" w:sz="0" w:space="0" w:color="auto"/>
                                    <w:right w:val="none" w:sz="0" w:space="0" w:color="auto"/>
                                  </w:divBdr>
                                </w:div>
                                <w:div w:id="906188500">
                                  <w:marLeft w:val="0"/>
                                  <w:marRight w:val="0"/>
                                  <w:marTop w:val="0"/>
                                  <w:marBottom w:val="0"/>
                                  <w:divBdr>
                                    <w:top w:val="none" w:sz="0" w:space="0" w:color="auto"/>
                                    <w:left w:val="none" w:sz="0" w:space="0" w:color="auto"/>
                                    <w:bottom w:val="none" w:sz="0" w:space="0" w:color="auto"/>
                                    <w:right w:val="none" w:sz="0" w:space="0" w:color="auto"/>
                                  </w:divBdr>
                                </w:div>
                              </w:divsChild>
                            </w:div>
                            <w:div w:id="1214585141">
                              <w:marLeft w:val="0"/>
                              <w:marRight w:val="0"/>
                              <w:marTop w:val="0"/>
                              <w:marBottom w:val="0"/>
                              <w:divBdr>
                                <w:top w:val="none" w:sz="0" w:space="0" w:color="auto"/>
                                <w:left w:val="none" w:sz="0" w:space="0" w:color="auto"/>
                                <w:bottom w:val="none" w:sz="0" w:space="0" w:color="auto"/>
                                <w:right w:val="none" w:sz="0" w:space="0" w:color="auto"/>
                              </w:divBdr>
                            </w:div>
                            <w:div w:id="638997282">
                              <w:marLeft w:val="0"/>
                              <w:marRight w:val="0"/>
                              <w:marTop w:val="0"/>
                              <w:marBottom w:val="0"/>
                              <w:divBdr>
                                <w:top w:val="none" w:sz="0" w:space="0" w:color="auto"/>
                                <w:left w:val="none" w:sz="0" w:space="0" w:color="auto"/>
                                <w:bottom w:val="none" w:sz="0" w:space="0" w:color="auto"/>
                                <w:right w:val="none" w:sz="0" w:space="0" w:color="auto"/>
                              </w:divBdr>
                            </w:div>
                            <w:div w:id="1607271105">
                              <w:marLeft w:val="0"/>
                              <w:marRight w:val="0"/>
                              <w:marTop w:val="0"/>
                              <w:marBottom w:val="0"/>
                              <w:divBdr>
                                <w:top w:val="none" w:sz="0" w:space="0" w:color="auto"/>
                                <w:left w:val="none" w:sz="0" w:space="0" w:color="auto"/>
                                <w:bottom w:val="none" w:sz="0" w:space="0" w:color="auto"/>
                                <w:right w:val="none" w:sz="0" w:space="0" w:color="auto"/>
                              </w:divBdr>
                            </w:div>
                            <w:div w:id="8019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0216">
              <w:marLeft w:val="0"/>
              <w:marRight w:val="0"/>
              <w:marTop w:val="225"/>
              <w:marBottom w:val="0"/>
              <w:divBdr>
                <w:top w:val="none" w:sz="0" w:space="0" w:color="auto"/>
                <w:left w:val="none" w:sz="0" w:space="0" w:color="auto"/>
                <w:bottom w:val="none" w:sz="0" w:space="0" w:color="auto"/>
                <w:right w:val="none" w:sz="0" w:space="0" w:color="auto"/>
              </w:divBdr>
              <w:divsChild>
                <w:div w:id="1745832030">
                  <w:marLeft w:val="0"/>
                  <w:marRight w:val="0"/>
                  <w:marTop w:val="0"/>
                  <w:marBottom w:val="0"/>
                  <w:divBdr>
                    <w:top w:val="single" w:sz="6" w:space="12" w:color="004969"/>
                    <w:left w:val="single" w:sz="6" w:space="12" w:color="004969"/>
                    <w:bottom w:val="single" w:sz="6" w:space="12" w:color="004969"/>
                    <w:right w:val="single" w:sz="6" w:space="12" w:color="004969"/>
                  </w:divBdr>
                  <w:divsChild>
                    <w:div w:id="1529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114700">
      <w:bodyDiv w:val="1"/>
      <w:marLeft w:val="0"/>
      <w:marRight w:val="0"/>
      <w:marTop w:val="0"/>
      <w:marBottom w:val="0"/>
      <w:divBdr>
        <w:top w:val="none" w:sz="0" w:space="0" w:color="auto"/>
        <w:left w:val="none" w:sz="0" w:space="0" w:color="auto"/>
        <w:bottom w:val="none" w:sz="0" w:space="0" w:color="auto"/>
        <w:right w:val="none" w:sz="0" w:space="0" w:color="auto"/>
      </w:divBdr>
      <w:divsChild>
        <w:div w:id="627199861">
          <w:marLeft w:val="0"/>
          <w:marRight w:val="0"/>
          <w:marTop w:val="0"/>
          <w:marBottom w:val="0"/>
          <w:divBdr>
            <w:top w:val="none" w:sz="0" w:space="0" w:color="auto"/>
            <w:left w:val="none" w:sz="0" w:space="0" w:color="auto"/>
            <w:bottom w:val="none" w:sz="0" w:space="0" w:color="auto"/>
            <w:right w:val="none" w:sz="0" w:space="0" w:color="auto"/>
          </w:divBdr>
          <w:divsChild>
            <w:div w:id="590352670">
              <w:marLeft w:val="150"/>
              <w:marRight w:val="150"/>
              <w:marTop w:val="0"/>
              <w:marBottom w:val="150"/>
              <w:divBdr>
                <w:top w:val="none" w:sz="0" w:space="0" w:color="auto"/>
                <w:left w:val="none" w:sz="0" w:space="0" w:color="auto"/>
                <w:bottom w:val="none" w:sz="0" w:space="0" w:color="auto"/>
                <w:right w:val="none" w:sz="0" w:space="0" w:color="auto"/>
              </w:divBdr>
              <w:divsChild>
                <w:div w:id="2139449989">
                  <w:marLeft w:val="0"/>
                  <w:marRight w:val="0"/>
                  <w:marTop w:val="0"/>
                  <w:marBottom w:val="0"/>
                  <w:divBdr>
                    <w:top w:val="none" w:sz="0" w:space="0" w:color="auto"/>
                    <w:left w:val="none" w:sz="0" w:space="0" w:color="auto"/>
                    <w:bottom w:val="none" w:sz="0" w:space="0" w:color="auto"/>
                    <w:right w:val="none" w:sz="0" w:space="0" w:color="auto"/>
                  </w:divBdr>
                  <w:divsChild>
                    <w:div w:id="1938294921">
                      <w:marLeft w:val="0"/>
                      <w:marRight w:val="0"/>
                      <w:marTop w:val="0"/>
                      <w:marBottom w:val="0"/>
                      <w:divBdr>
                        <w:top w:val="none" w:sz="0" w:space="0" w:color="auto"/>
                        <w:left w:val="none" w:sz="0" w:space="0" w:color="auto"/>
                        <w:bottom w:val="none" w:sz="0" w:space="0" w:color="auto"/>
                        <w:right w:val="none" w:sz="0" w:space="0" w:color="auto"/>
                      </w:divBdr>
                      <w:divsChild>
                        <w:div w:id="597178041">
                          <w:marLeft w:val="0"/>
                          <w:marRight w:val="0"/>
                          <w:marTop w:val="0"/>
                          <w:marBottom w:val="0"/>
                          <w:divBdr>
                            <w:top w:val="none" w:sz="0" w:space="0" w:color="auto"/>
                            <w:left w:val="none" w:sz="0" w:space="0" w:color="auto"/>
                            <w:bottom w:val="none" w:sz="0" w:space="0" w:color="auto"/>
                            <w:right w:val="none" w:sz="0" w:space="0" w:color="auto"/>
                          </w:divBdr>
                          <w:divsChild>
                            <w:div w:id="556208647">
                              <w:marLeft w:val="0"/>
                              <w:marRight w:val="0"/>
                              <w:marTop w:val="0"/>
                              <w:marBottom w:val="0"/>
                              <w:divBdr>
                                <w:top w:val="none" w:sz="0" w:space="0" w:color="auto"/>
                                <w:left w:val="none" w:sz="0" w:space="0" w:color="auto"/>
                                <w:bottom w:val="none" w:sz="0" w:space="0" w:color="auto"/>
                                <w:right w:val="none" w:sz="0" w:space="0" w:color="auto"/>
                              </w:divBdr>
                              <w:divsChild>
                                <w:div w:id="754982612">
                                  <w:marLeft w:val="0"/>
                                  <w:marRight w:val="0"/>
                                  <w:marTop w:val="0"/>
                                  <w:marBottom w:val="0"/>
                                  <w:divBdr>
                                    <w:top w:val="none" w:sz="0" w:space="0" w:color="auto"/>
                                    <w:left w:val="none" w:sz="0" w:space="0" w:color="auto"/>
                                    <w:bottom w:val="none" w:sz="0" w:space="0" w:color="auto"/>
                                    <w:right w:val="none" w:sz="0" w:space="0" w:color="auto"/>
                                  </w:divBdr>
                                </w:div>
                                <w:div w:id="1295872844">
                                  <w:marLeft w:val="0"/>
                                  <w:marRight w:val="0"/>
                                  <w:marTop w:val="0"/>
                                  <w:marBottom w:val="0"/>
                                  <w:divBdr>
                                    <w:top w:val="none" w:sz="0" w:space="0" w:color="auto"/>
                                    <w:left w:val="none" w:sz="0" w:space="0" w:color="auto"/>
                                    <w:bottom w:val="none" w:sz="0" w:space="0" w:color="auto"/>
                                    <w:right w:val="none" w:sz="0" w:space="0" w:color="auto"/>
                                  </w:divBdr>
                                </w:div>
                                <w:div w:id="1699432481">
                                  <w:marLeft w:val="0"/>
                                  <w:marRight w:val="0"/>
                                  <w:marTop w:val="0"/>
                                  <w:marBottom w:val="0"/>
                                  <w:divBdr>
                                    <w:top w:val="none" w:sz="0" w:space="0" w:color="auto"/>
                                    <w:left w:val="none" w:sz="0" w:space="0" w:color="auto"/>
                                    <w:bottom w:val="none" w:sz="0" w:space="0" w:color="auto"/>
                                    <w:right w:val="none" w:sz="0" w:space="0" w:color="auto"/>
                                  </w:divBdr>
                                </w:div>
                                <w:div w:id="91124545">
                                  <w:marLeft w:val="0"/>
                                  <w:marRight w:val="0"/>
                                  <w:marTop w:val="0"/>
                                  <w:marBottom w:val="0"/>
                                  <w:divBdr>
                                    <w:top w:val="none" w:sz="0" w:space="0" w:color="auto"/>
                                    <w:left w:val="none" w:sz="0" w:space="0" w:color="auto"/>
                                    <w:bottom w:val="none" w:sz="0" w:space="0" w:color="auto"/>
                                    <w:right w:val="none" w:sz="0" w:space="0" w:color="auto"/>
                                  </w:divBdr>
                                </w:div>
                              </w:divsChild>
                            </w:div>
                            <w:div w:id="743571931">
                              <w:marLeft w:val="0"/>
                              <w:marRight w:val="0"/>
                              <w:marTop w:val="0"/>
                              <w:marBottom w:val="0"/>
                              <w:divBdr>
                                <w:top w:val="none" w:sz="0" w:space="0" w:color="auto"/>
                                <w:left w:val="none" w:sz="0" w:space="0" w:color="auto"/>
                                <w:bottom w:val="none" w:sz="0" w:space="0" w:color="auto"/>
                                <w:right w:val="none" w:sz="0" w:space="0" w:color="auto"/>
                              </w:divBdr>
                            </w:div>
                            <w:div w:id="814180302">
                              <w:marLeft w:val="0"/>
                              <w:marRight w:val="0"/>
                              <w:marTop w:val="0"/>
                              <w:marBottom w:val="0"/>
                              <w:divBdr>
                                <w:top w:val="none" w:sz="0" w:space="0" w:color="auto"/>
                                <w:left w:val="none" w:sz="0" w:space="0" w:color="auto"/>
                                <w:bottom w:val="none" w:sz="0" w:space="0" w:color="auto"/>
                                <w:right w:val="none" w:sz="0" w:space="0" w:color="auto"/>
                              </w:divBdr>
                            </w:div>
                            <w:div w:id="2070375746">
                              <w:marLeft w:val="0"/>
                              <w:marRight w:val="0"/>
                              <w:marTop w:val="0"/>
                              <w:marBottom w:val="0"/>
                              <w:divBdr>
                                <w:top w:val="none" w:sz="0" w:space="0" w:color="auto"/>
                                <w:left w:val="none" w:sz="0" w:space="0" w:color="auto"/>
                                <w:bottom w:val="none" w:sz="0" w:space="0" w:color="auto"/>
                                <w:right w:val="none" w:sz="0" w:space="0" w:color="auto"/>
                              </w:divBdr>
                            </w:div>
                            <w:div w:id="3360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7306">
              <w:marLeft w:val="0"/>
              <w:marRight w:val="0"/>
              <w:marTop w:val="225"/>
              <w:marBottom w:val="0"/>
              <w:divBdr>
                <w:top w:val="none" w:sz="0" w:space="0" w:color="auto"/>
                <w:left w:val="none" w:sz="0" w:space="0" w:color="auto"/>
                <w:bottom w:val="none" w:sz="0" w:space="0" w:color="auto"/>
                <w:right w:val="none" w:sz="0" w:space="0" w:color="auto"/>
              </w:divBdr>
              <w:divsChild>
                <w:div w:id="1160846984">
                  <w:marLeft w:val="0"/>
                  <w:marRight w:val="0"/>
                  <w:marTop w:val="0"/>
                  <w:marBottom w:val="0"/>
                  <w:divBdr>
                    <w:top w:val="single" w:sz="6" w:space="12" w:color="004969"/>
                    <w:left w:val="single" w:sz="6" w:space="12" w:color="004969"/>
                    <w:bottom w:val="single" w:sz="6" w:space="12" w:color="004969"/>
                    <w:right w:val="single" w:sz="6" w:space="12" w:color="004969"/>
                  </w:divBdr>
                  <w:divsChild>
                    <w:div w:id="11132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03126">
      <w:bodyDiv w:val="1"/>
      <w:marLeft w:val="0"/>
      <w:marRight w:val="0"/>
      <w:marTop w:val="0"/>
      <w:marBottom w:val="0"/>
      <w:divBdr>
        <w:top w:val="none" w:sz="0" w:space="0" w:color="auto"/>
        <w:left w:val="none" w:sz="0" w:space="0" w:color="auto"/>
        <w:bottom w:val="none" w:sz="0" w:space="0" w:color="auto"/>
        <w:right w:val="none" w:sz="0" w:space="0" w:color="auto"/>
      </w:divBdr>
      <w:divsChild>
        <w:div w:id="205992305">
          <w:marLeft w:val="0"/>
          <w:marRight w:val="0"/>
          <w:marTop w:val="0"/>
          <w:marBottom w:val="0"/>
          <w:divBdr>
            <w:top w:val="none" w:sz="0" w:space="0" w:color="auto"/>
            <w:left w:val="none" w:sz="0" w:space="0" w:color="auto"/>
            <w:bottom w:val="none" w:sz="0" w:space="0" w:color="auto"/>
            <w:right w:val="none" w:sz="0" w:space="0" w:color="auto"/>
          </w:divBdr>
          <w:divsChild>
            <w:div w:id="1221479373">
              <w:marLeft w:val="150"/>
              <w:marRight w:val="150"/>
              <w:marTop w:val="0"/>
              <w:marBottom w:val="150"/>
              <w:divBdr>
                <w:top w:val="none" w:sz="0" w:space="0" w:color="auto"/>
                <w:left w:val="none" w:sz="0" w:space="0" w:color="auto"/>
                <w:bottom w:val="none" w:sz="0" w:space="0" w:color="auto"/>
                <w:right w:val="none" w:sz="0" w:space="0" w:color="auto"/>
              </w:divBdr>
              <w:divsChild>
                <w:div w:id="1941527096">
                  <w:marLeft w:val="0"/>
                  <w:marRight w:val="0"/>
                  <w:marTop w:val="0"/>
                  <w:marBottom w:val="0"/>
                  <w:divBdr>
                    <w:top w:val="none" w:sz="0" w:space="0" w:color="auto"/>
                    <w:left w:val="none" w:sz="0" w:space="0" w:color="auto"/>
                    <w:bottom w:val="none" w:sz="0" w:space="0" w:color="auto"/>
                    <w:right w:val="none" w:sz="0" w:space="0" w:color="auto"/>
                  </w:divBdr>
                  <w:divsChild>
                    <w:div w:id="1928804536">
                      <w:marLeft w:val="0"/>
                      <w:marRight w:val="0"/>
                      <w:marTop w:val="0"/>
                      <w:marBottom w:val="0"/>
                      <w:divBdr>
                        <w:top w:val="none" w:sz="0" w:space="0" w:color="auto"/>
                        <w:left w:val="none" w:sz="0" w:space="0" w:color="auto"/>
                        <w:bottom w:val="none" w:sz="0" w:space="0" w:color="auto"/>
                        <w:right w:val="none" w:sz="0" w:space="0" w:color="auto"/>
                      </w:divBdr>
                      <w:divsChild>
                        <w:div w:id="247734741">
                          <w:marLeft w:val="0"/>
                          <w:marRight w:val="0"/>
                          <w:marTop w:val="0"/>
                          <w:marBottom w:val="0"/>
                          <w:divBdr>
                            <w:top w:val="none" w:sz="0" w:space="0" w:color="auto"/>
                            <w:left w:val="none" w:sz="0" w:space="0" w:color="auto"/>
                            <w:bottom w:val="none" w:sz="0" w:space="0" w:color="auto"/>
                            <w:right w:val="none" w:sz="0" w:space="0" w:color="auto"/>
                          </w:divBdr>
                          <w:divsChild>
                            <w:div w:id="1978145737">
                              <w:marLeft w:val="0"/>
                              <w:marRight w:val="0"/>
                              <w:marTop w:val="0"/>
                              <w:marBottom w:val="0"/>
                              <w:divBdr>
                                <w:top w:val="none" w:sz="0" w:space="0" w:color="auto"/>
                                <w:left w:val="none" w:sz="0" w:space="0" w:color="auto"/>
                                <w:bottom w:val="none" w:sz="0" w:space="0" w:color="auto"/>
                                <w:right w:val="none" w:sz="0" w:space="0" w:color="auto"/>
                              </w:divBdr>
                              <w:divsChild>
                                <w:div w:id="679355966">
                                  <w:marLeft w:val="0"/>
                                  <w:marRight w:val="0"/>
                                  <w:marTop w:val="0"/>
                                  <w:marBottom w:val="0"/>
                                  <w:divBdr>
                                    <w:top w:val="none" w:sz="0" w:space="0" w:color="auto"/>
                                    <w:left w:val="none" w:sz="0" w:space="0" w:color="auto"/>
                                    <w:bottom w:val="none" w:sz="0" w:space="0" w:color="auto"/>
                                    <w:right w:val="none" w:sz="0" w:space="0" w:color="auto"/>
                                  </w:divBdr>
                                </w:div>
                                <w:div w:id="10115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207259">
      <w:bodyDiv w:val="1"/>
      <w:marLeft w:val="0"/>
      <w:marRight w:val="0"/>
      <w:marTop w:val="0"/>
      <w:marBottom w:val="0"/>
      <w:divBdr>
        <w:top w:val="none" w:sz="0" w:space="0" w:color="auto"/>
        <w:left w:val="none" w:sz="0" w:space="0" w:color="auto"/>
        <w:bottom w:val="none" w:sz="0" w:space="0" w:color="auto"/>
        <w:right w:val="none" w:sz="0" w:space="0" w:color="auto"/>
      </w:divBdr>
      <w:divsChild>
        <w:div w:id="1981226312">
          <w:marLeft w:val="0"/>
          <w:marRight w:val="0"/>
          <w:marTop w:val="0"/>
          <w:marBottom w:val="0"/>
          <w:divBdr>
            <w:top w:val="none" w:sz="0" w:space="0" w:color="auto"/>
            <w:left w:val="none" w:sz="0" w:space="0" w:color="auto"/>
            <w:bottom w:val="none" w:sz="0" w:space="0" w:color="auto"/>
            <w:right w:val="none" w:sz="0" w:space="0" w:color="auto"/>
          </w:divBdr>
          <w:divsChild>
            <w:div w:id="536897556">
              <w:marLeft w:val="150"/>
              <w:marRight w:val="150"/>
              <w:marTop w:val="0"/>
              <w:marBottom w:val="150"/>
              <w:divBdr>
                <w:top w:val="none" w:sz="0" w:space="0" w:color="auto"/>
                <w:left w:val="none" w:sz="0" w:space="0" w:color="auto"/>
                <w:bottom w:val="none" w:sz="0" w:space="0" w:color="auto"/>
                <w:right w:val="none" w:sz="0" w:space="0" w:color="auto"/>
              </w:divBdr>
              <w:divsChild>
                <w:div w:id="1520388078">
                  <w:marLeft w:val="0"/>
                  <w:marRight w:val="0"/>
                  <w:marTop w:val="0"/>
                  <w:marBottom w:val="0"/>
                  <w:divBdr>
                    <w:top w:val="none" w:sz="0" w:space="0" w:color="auto"/>
                    <w:left w:val="none" w:sz="0" w:space="0" w:color="auto"/>
                    <w:bottom w:val="none" w:sz="0" w:space="0" w:color="auto"/>
                    <w:right w:val="none" w:sz="0" w:space="0" w:color="auto"/>
                  </w:divBdr>
                  <w:divsChild>
                    <w:div w:id="1772358149">
                      <w:marLeft w:val="0"/>
                      <w:marRight w:val="0"/>
                      <w:marTop w:val="0"/>
                      <w:marBottom w:val="0"/>
                      <w:divBdr>
                        <w:top w:val="none" w:sz="0" w:space="0" w:color="auto"/>
                        <w:left w:val="none" w:sz="0" w:space="0" w:color="auto"/>
                        <w:bottom w:val="none" w:sz="0" w:space="0" w:color="auto"/>
                        <w:right w:val="none" w:sz="0" w:space="0" w:color="auto"/>
                      </w:divBdr>
                      <w:divsChild>
                        <w:div w:id="11418531">
                          <w:marLeft w:val="0"/>
                          <w:marRight w:val="0"/>
                          <w:marTop w:val="0"/>
                          <w:marBottom w:val="0"/>
                          <w:divBdr>
                            <w:top w:val="none" w:sz="0" w:space="0" w:color="auto"/>
                            <w:left w:val="none" w:sz="0" w:space="0" w:color="auto"/>
                            <w:bottom w:val="none" w:sz="0" w:space="0" w:color="auto"/>
                            <w:right w:val="none" w:sz="0" w:space="0" w:color="auto"/>
                          </w:divBdr>
                          <w:divsChild>
                            <w:div w:id="327055175">
                              <w:marLeft w:val="0"/>
                              <w:marRight w:val="0"/>
                              <w:marTop w:val="0"/>
                              <w:marBottom w:val="0"/>
                              <w:divBdr>
                                <w:top w:val="none" w:sz="0" w:space="0" w:color="auto"/>
                                <w:left w:val="none" w:sz="0" w:space="0" w:color="auto"/>
                                <w:bottom w:val="none" w:sz="0" w:space="0" w:color="auto"/>
                                <w:right w:val="none" w:sz="0" w:space="0" w:color="auto"/>
                              </w:divBdr>
                              <w:divsChild>
                                <w:div w:id="570578436">
                                  <w:marLeft w:val="0"/>
                                  <w:marRight w:val="0"/>
                                  <w:marTop w:val="0"/>
                                  <w:marBottom w:val="0"/>
                                  <w:divBdr>
                                    <w:top w:val="none" w:sz="0" w:space="0" w:color="auto"/>
                                    <w:left w:val="none" w:sz="0" w:space="0" w:color="auto"/>
                                    <w:bottom w:val="none" w:sz="0" w:space="0" w:color="auto"/>
                                    <w:right w:val="none" w:sz="0" w:space="0" w:color="auto"/>
                                  </w:divBdr>
                                </w:div>
                                <w:div w:id="1923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7881">
      <w:bodyDiv w:val="1"/>
      <w:marLeft w:val="0"/>
      <w:marRight w:val="0"/>
      <w:marTop w:val="0"/>
      <w:marBottom w:val="0"/>
      <w:divBdr>
        <w:top w:val="none" w:sz="0" w:space="0" w:color="auto"/>
        <w:left w:val="none" w:sz="0" w:space="0" w:color="auto"/>
        <w:bottom w:val="none" w:sz="0" w:space="0" w:color="auto"/>
        <w:right w:val="none" w:sz="0" w:space="0" w:color="auto"/>
      </w:divBdr>
      <w:divsChild>
        <w:div w:id="1340738493">
          <w:marLeft w:val="0"/>
          <w:marRight w:val="0"/>
          <w:marTop w:val="0"/>
          <w:marBottom w:val="0"/>
          <w:divBdr>
            <w:top w:val="none" w:sz="0" w:space="0" w:color="auto"/>
            <w:left w:val="none" w:sz="0" w:space="0" w:color="auto"/>
            <w:bottom w:val="none" w:sz="0" w:space="0" w:color="auto"/>
            <w:right w:val="none" w:sz="0" w:space="0" w:color="auto"/>
          </w:divBdr>
          <w:divsChild>
            <w:div w:id="1022442088">
              <w:marLeft w:val="150"/>
              <w:marRight w:val="150"/>
              <w:marTop w:val="0"/>
              <w:marBottom w:val="150"/>
              <w:divBdr>
                <w:top w:val="none" w:sz="0" w:space="0" w:color="auto"/>
                <w:left w:val="none" w:sz="0" w:space="0" w:color="auto"/>
                <w:bottom w:val="none" w:sz="0" w:space="0" w:color="auto"/>
                <w:right w:val="none" w:sz="0" w:space="0" w:color="auto"/>
              </w:divBdr>
              <w:divsChild>
                <w:div w:id="251162720">
                  <w:marLeft w:val="0"/>
                  <w:marRight w:val="0"/>
                  <w:marTop w:val="0"/>
                  <w:marBottom w:val="0"/>
                  <w:divBdr>
                    <w:top w:val="none" w:sz="0" w:space="0" w:color="auto"/>
                    <w:left w:val="none" w:sz="0" w:space="0" w:color="auto"/>
                    <w:bottom w:val="none" w:sz="0" w:space="0" w:color="auto"/>
                    <w:right w:val="none" w:sz="0" w:space="0" w:color="auto"/>
                  </w:divBdr>
                  <w:divsChild>
                    <w:div w:id="1085876898">
                      <w:marLeft w:val="0"/>
                      <w:marRight w:val="0"/>
                      <w:marTop w:val="0"/>
                      <w:marBottom w:val="0"/>
                      <w:divBdr>
                        <w:top w:val="none" w:sz="0" w:space="0" w:color="auto"/>
                        <w:left w:val="none" w:sz="0" w:space="0" w:color="auto"/>
                        <w:bottom w:val="none" w:sz="0" w:space="0" w:color="auto"/>
                        <w:right w:val="none" w:sz="0" w:space="0" w:color="auto"/>
                      </w:divBdr>
                      <w:divsChild>
                        <w:div w:id="248541610">
                          <w:marLeft w:val="0"/>
                          <w:marRight w:val="0"/>
                          <w:marTop w:val="0"/>
                          <w:marBottom w:val="0"/>
                          <w:divBdr>
                            <w:top w:val="none" w:sz="0" w:space="0" w:color="auto"/>
                            <w:left w:val="none" w:sz="0" w:space="0" w:color="auto"/>
                            <w:bottom w:val="none" w:sz="0" w:space="0" w:color="auto"/>
                            <w:right w:val="none" w:sz="0" w:space="0" w:color="auto"/>
                          </w:divBdr>
                          <w:divsChild>
                            <w:div w:id="1458840512">
                              <w:marLeft w:val="0"/>
                              <w:marRight w:val="0"/>
                              <w:marTop w:val="0"/>
                              <w:marBottom w:val="0"/>
                              <w:divBdr>
                                <w:top w:val="none" w:sz="0" w:space="0" w:color="auto"/>
                                <w:left w:val="none" w:sz="0" w:space="0" w:color="auto"/>
                                <w:bottom w:val="none" w:sz="0" w:space="0" w:color="auto"/>
                                <w:right w:val="none" w:sz="0" w:space="0" w:color="auto"/>
                              </w:divBdr>
                              <w:divsChild>
                                <w:div w:id="780300663">
                                  <w:marLeft w:val="0"/>
                                  <w:marRight w:val="0"/>
                                  <w:marTop w:val="0"/>
                                  <w:marBottom w:val="0"/>
                                  <w:divBdr>
                                    <w:top w:val="none" w:sz="0" w:space="0" w:color="auto"/>
                                    <w:left w:val="none" w:sz="0" w:space="0" w:color="auto"/>
                                    <w:bottom w:val="none" w:sz="0" w:space="0" w:color="auto"/>
                                    <w:right w:val="none" w:sz="0" w:space="0" w:color="auto"/>
                                  </w:divBdr>
                                </w:div>
                                <w:div w:id="272565148">
                                  <w:marLeft w:val="0"/>
                                  <w:marRight w:val="0"/>
                                  <w:marTop w:val="0"/>
                                  <w:marBottom w:val="0"/>
                                  <w:divBdr>
                                    <w:top w:val="none" w:sz="0" w:space="0" w:color="auto"/>
                                    <w:left w:val="none" w:sz="0" w:space="0" w:color="auto"/>
                                    <w:bottom w:val="none" w:sz="0" w:space="0" w:color="auto"/>
                                    <w:right w:val="none" w:sz="0" w:space="0" w:color="auto"/>
                                  </w:divBdr>
                                </w:div>
                                <w:div w:id="794717239">
                                  <w:marLeft w:val="0"/>
                                  <w:marRight w:val="0"/>
                                  <w:marTop w:val="0"/>
                                  <w:marBottom w:val="0"/>
                                  <w:divBdr>
                                    <w:top w:val="none" w:sz="0" w:space="0" w:color="auto"/>
                                    <w:left w:val="none" w:sz="0" w:space="0" w:color="auto"/>
                                    <w:bottom w:val="none" w:sz="0" w:space="0" w:color="auto"/>
                                    <w:right w:val="none" w:sz="0" w:space="0" w:color="auto"/>
                                  </w:divBdr>
                                </w:div>
                                <w:div w:id="663045390">
                                  <w:marLeft w:val="0"/>
                                  <w:marRight w:val="0"/>
                                  <w:marTop w:val="0"/>
                                  <w:marBottom w:val="0"/>
                                  <w:divBdr>
                                    <w:top w:val="none" w:sz="0" w:space="0" w:color="auto"/>
                                    <w:left w:val="none" w:sz="0" w:space="0" w:color="auto"/>
                                    <w:bottom w:val="none" w:sz="0" w:space="0" w:color="auto"/>
                                    <w:right w:val="none" w:sz="0" w:space="0" w:color="auto"/>
                                  </w:divBdr>
                                </w:div>
                                <w:div w:id="12250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83666">
      <w:bodyDiv w:val="1"/>
      <w:marLeft w:val="0"/>
      <w:marRight w:val="0"/>
      <w:marTop w:val="0"/>
      <w:marBottom w:val="0"/>
      <w:divBdr>
        <w:top w:val="none" w:sz="0" w:space="0" w:color="auto"/>
        <w:left w:val="none" w:sz="0" w:space="0" w:color="auto"/>
        <w:bottom w:val="none" w:sz="0" w:space="0" w:color="auto"/>
        <w:right w:val="none" w:sz="0" w:space="0" w:color="auto"/>
      </w:divBdr>
      <w:divsChild>
        <w:div w:id="1365255610">
          <w:marLeft w:val="0"/>
          <w:marRight w:val="0"/>
          <w:marTop w:val="0"/>
          <w:marBottom w:val="0"/>
          <w:divBdr>
            <w:top w:val="none" w:sz="0" w:space="0" w:color="auto"/>
            <w:left w:val="none" w:sz="0" w:space="0" w:color="auto"/>
            <w:bottom w:val="none" w:sz="0" w:space="0" w:color="auto"/>
            <w:right w:val="none" w:sz="0" w:space="0" w:color="auto"/>
          </w:divBdr>
          <w:divsChild>
            <w:div w:id="196164451">
              <w:marLeft w:val="150"/>
              <w:marRight w:val="150"/>
              <w:marTop w:val="0"/>
              <w:marBottom w:val="150"/>
              <w:divBdr>
                <w:top w:val="none" w:sz="0" w:space="0" w:color="auto"/>
                <w:left w:val="none" w:sz="0" w:space="0" w:color="auto"/>
                <w:bottom w:val="none" w:sz="0" w:space="0" w:color="auto"/>
                <w:right w:val="none" w:sz="0" w:space="0" w:color="auto"/>
              </w:divBdr>
              <w:divsChild>
                <w:div w:id="428935749">
                  <w:marLeft w:val="0"/>
                  <w:marRight w:val="0"/>
                  <w:marTop w:val="0"/>
                  <w:marBottom w:val="0"/>
                  <w:divBdr>
                    <w:top w:val="none" w:sz="0" w:space="0" w:color="auto"/>
                    <w:left w:val="none" w:sz="0" w:space="0" w:color="auto"/>
                    <w:bottom w:val="none" w:sz="0" w:space="0" w:color="auto"/>
                    <w:right w:val="none" w:sz="0" w:space="0" w:color="auto"/>
                  </w:divBdr>
                  <w:divsChild>
                    <w:div w:id="1828206179">
                      <w:marLeft w:val="0"/>
                      <w:marRight w:val="0"/>
                      <w:marTop w:val="0"/>
                      <w:marBottom w:val="0"/>
                      <w:divBdr>
                        <w:top w:val="none" w:sz="0" w:space="0" w:color="auto"/>
                        <w:left w:val="none" w:sz="0" w:space="0" w:color="auto"/>
                        <w:bottom w:val="none" w:sz="0" w:space="0" w:color="auto"/>
                        <w:right w:val="none" w:sz="0" w:space="0" w:color="auto"/>
                      </w:divBdr>
                      <w:divsChild>
                        <w:div w:id="54861248">
                          <w:marLeft w:val="0"/>
                          <w:marRight w:val="0"/>
                          <w:marTop w:val="0"/>
                          <w:marBottom w:val="0"/>
                          <w:divBdr>
                            <w:top w:val="none" w:sz="0" w:space="0" w:color="auto"/>
                            <w:left w:val="none" w:sz="0" w:space="0" w:color="auto"/>
                            <w:bottom w:val="none" w:sz="0" w:space="0" w:color="auto"/>
                            <w:right w:val="none" w:sz="0" w:space="0" w:color="auto"/>
                          </w:divBdr>
                          <w:divsChild>
                            <w:div w:id="2060394912">
                              <w:marLeft w:val="0"/>
                              <w:marRight w:val="0"/>
                              <w:marTop w:val="0"/>
                              <w:marBottom w:val="0"/>
                              <w:divBdr>
                                <w:top w:val="none" w:sz="0" w:space="0" w:color="auto"/>
                                <w:left w:val="none" w:sz="0" w:space="0" w:color="auto"/>
                                <w:bottom w:val="none" w:sz="0" w:space="0" w:color="auto"/>
                                <w:right w:val="none" w:sz="0" w:space="0" w:color="auto"/>
                              </w:divBdr>
                              <w:divsChild>
                                <w:div w:id="1186989467">
                                  <w:marLeft w:val="0"/>
                                  <w:marRight w:val="0"/>
                                  <w:marTop w:val="0"/>
                                  <w:marBottom w:val="0"/>
                                  <w:divBdr>
                                    <w:top w:val="none" w:sz="0" w:space="0" w:color="auto"/>
                                    <w:left w:val="none" w:sz="0" w:space="0" w:color="auto"/>
                                    <w:bottom w:val="none" w:sz="0" w:space="0" w:color="auto"/>
                                    <w:right w:val="none" w:sz="0" w:space="0" w:color="auto"/>
                                  </w:divBdr>
                                </w:div>
                                <w:div w:id="469439810">
                                  <w:marLeft w:val="0"/>
                                  <w:marRight w:val="0"/>
                                  <w:marTop w:val="0"/>
                                  <w:marBottom w:val="0"/>
                                  <w:divBdr>
                                    <w:top w:val="none" w:sz="0" w:space="0" w:color="auto"/>
                                    <w:left w:val="none" w:sz="0" w:space="0" w:color="auto"/>
                                    <w:bottom w:val="none" w:sz="0" w:space="0" w:color="auto"/>
                                    <w:right w:val="none" w:sz="0" w:space="0" w:color="auto"/>
                                  </w:divBdr>
                                </w:div>
                                <w:div w:id="1975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145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40">
          <w:marLeft w:val="0"/>
          <w:marRight w:val="0"/>
          <w:marTop w:val="0"/>
          <w:marBottom w:val="0"/>
          <w:divBdr>
            <w:top w:val="none" w:sz="0" w:space="0" w:color="auto"/>
            <w:left w:val="none" w:sz="0" w:space="0" w:color="auto"/>
            <w:bottom w:val="none" w:sz="0" w:space="0" w:color="auto"/>
            <w:right w:val="none" w:sz="0" w:space="0" w:color="auto"/>
          </w:divBdr>
          <w:divsChild>
            <w:div w:id="1652709007">
              <w:marLeft w:val="150"/>
              <w:marRight w:val="150"/>
              <w:marTop w:val="0"/>
              <w:marBottom w:val="150"/>
              <w:divBdr>
                <w:top w:val="none" w:sz="0" w:space="0" w:color="auto"/>
                <w:left w:val="none" w:sz="0" w:space="0" w:color="auto"/>
                <w:bottom w:val="none" w:sz="0" w:space="0" w:color="auto"/>
                <w:right w:val="none" w:sz="0" w:space="0" w:color="auto"/>
              </w:divBdr>
              <w:divsChild>
                <w:div w:id="525483228">
                  <w:marLeft w:val="0"/>
                  <w:marRight w:val="0"/>
                  <w:marTop w:val="0"/>
                  <w:marBottom w:val="0"/>
                  <w:divBdr>
                    <w:top w:val="none" w:sz="0" w:space="0" w:color="auto"/>
                    <w:left w:val="none" w:sz="0" w:space="0" w:color="auto"/>
                    <w:bottom w:val="none" w:sz="0" w:space="0" w:color="auto"/>
                    <w:right w:val="none" w:sz="0" w:space="0" w:color="auto"/>
                  </w:divBdr>
                  <w:divsChild>
                    <w:div w:id="992172980">
                      <w:marLeft w:val="0"/>
                      <w:marRight w:val="0"/>
                      <w:marTop w:val="0"/>
                      <w:marBottom w:val="0"/>
                      <w:divBdr>
                        <w:top w:val="none" w:sz="0" w:space="0" w:color="auto"/>
                        <w:left w:val="none" w:sz="0" w:space="0" w:color="auto"/>
                        <w:bottom w:val="none" w:sz="0" w:space="0" w:color="auto"/>
                        <w:right w:val="none" w:sz="0" w:space="0" w:color="auto"/>
                      </w:divBdr>
                      <w:divsChild>
                        <w:div w:id="260073204">
                          <w:marLeft w:val="0"/>
                          <w:marRight w:val="0"/>
                          <w:marTop w:val="0"/>
                          <w:marBottom w:val="0"/>
                          <w:divBdr>
                            <w:top w:val="none" w:sz="0" w:space="0" w:color="auto"/>
                            <w:left w:val="none" w:sz="0" w:space="0" w:color="auto"/>
                            <w:bottom w:val="none" w:sz="0" w:space="0" w:color="auto"/>
                            <w:right w:val="none" w:sz="0" w:space="0" w:color="auto"/>
                          </w:divBdr>
                          <w:divsChild>
                            <w:div w:id="106315163">
                              <w:marLeft w:val="0"/>
                              <w:marRight w:val="0"/>
                              <w:marTop w:val="0"/>
                              <w:marBottom w:val="0"/>
                              <w:divBdr>
                                <w:top w:val="none" w:sz="0" w:space="0" w:color="auto"/>
                                <w:left w:val="none" w:sz="0" w:space="0" w:color="auto"/>
                                <w:bottom w:val="none" w:sz="0" w:space="0" w:color="auto"/>
                                <w:right w:val="none" w:sz="0" w:space="0" w:color="auto"/>
                              </w:divBdr>
                              <w:divsChild>
                                <w:div w:id="1576280893">
                                  <w:marLeft w:val="0"/>
                                  <w:marRight w:val="0"/>
                                  <w:marTop w:val="0"/>
                                  <w:marBottom w:val="0"/>
                                  <w:divBdr>
                                    <w:top w:val="none" w:sz="0" w:space="0" w:color="auto"/>
                                    <w:left w:val="none" w:sz="0" w:space="0" w:color="auto"/>
                                    <w:bottom w:val="none" w:sz="0" w:space="0" w:color="auto"/>
                                    <w:right w:val="none" w:sz="0" w:space="0" w:color="auto"/>
                                  </w:divBdr>
                                </w:div>
                                <w:div w:id="1918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611146">
      <w:bodyDiv w:val="1"/>
      <w:marLeft w:val="0"/>
      <w:marRight w:val="0"/>
      <w:marTop w:val="0"/>
      <w:marBottom w:val="0"/>
      <w:divBdr>
        <w:top w:val="none" w:sz="0" w:space="0" w:color="auto"/>
        <w:left w:val="none" w:sz="0" w:space="0" w:color="auto"/>
        <w:bottom w:val="none" w:sz="0" w:space="0" w:color="auto"/>
        <w:right w:val="none" w:sz="0" w:space="0" w:color="auto"/>
      </w:divBdr>
      <w:divsChild>
        <w:div w:id="1564757147">
          <w:marLeft w:val="0"/>
          <w:marRight w:val="0"/>
          <w:marTop w:val="0"/>
          <w:marBottom w:val="0"/>
          <w:divBdr>
            <w:top w:val="none" w:sz="0" w:space="0" w:color="auto"/>
            <w:left w:val="none" w:sz="0" w:space="0" w:color="auto"/>
            <w:bottom w:val="none" w:sz="0" w:space="0" w:color="auto"/>
            <w:right w:val="none" w:sz="0" w:space="0" w:color="auto"/>
          </w:divBdr>
          <w:divsChild>
            <w:div w:id="197399873">
              <w:marLeft w:val="150"/>
              <w:marRight w:val="150"/>
              <w:marTop w:val="0"/>
              <w:marBottom w:val="150"/>
              <w:divBdr>
                <w:top w:val="none" w:sz="0" w:space="0" w:color="auto"/>
                <w:left w:val="none" w:sz="0" w:space="0" w:color="auto"/>
                <w:bottom w:val="none" w:sz="0" w:space="0" w:color="auto"/>
                <w:right w:val="none" w:sz="0" w:space="0" w:color="auto"/>
              </w:divBdr>
              <w:divsChild>
                <w:div w:id="1324318659">
                  <w:marLeft w:val="0"/>
                  <w:marRight w:val="0"/>
                  <w:marTop w:val="0"/>
                  <w:marBottom w:val="0"/>
                  <w:divBdr>
                    <w:top w:val="none" w:sz="0" w:space="0" w:color="auto"/>
                    <w:left w:val="none" w:sz="0" w:space="0" w:color="auto"/>
                    <w:bottom w:val="none" w:sz="0" w:space="0" w:color="auto"/>
                    <w:right w:val="none" w:sz="0" w:space="0" w:color="auto"/>
                  </w:divBdr>
                  <w:divsChild>
                    <w:div w:id="510796798">
                      <w:marLeft w:val="0"/>
                      <w:marRight w:val="0"/>
                      <w:marTop w:val="0"/>
                      <w:marBottom w:val="0"/>
                      <w:divBdr>
                        <w:top w:val="none" w:sz="0" w:space="0" w:color="auto"/>
                        <w:left w:val="none" w:sz="0" w:space="0" w:color="auto"/>
                        <w:bottom w:val="none" w:sz="0" w:space="0" w:color="auto"/>
                        <w:right w:val="none" w:sz="0" w:space="0" w:color="auto"/>
                      </w:divBdr>
                      <w:divsChild>
                        <w:div w:id="1589802797">
                          <w:marLeft w:val="0"/>
                          <w:marRight w:val="0"/>
                          <w:marTop w:val="0"/>
                          <w:marBottom w:val="0"/>
                          <w:divBdr>
                            <w:top w:val="none" w:sz="0" w:space="0" w:color="auto"/>
                            <w:left w:val="none" w:sz="0" w:space="0" w:color="auto"/>
                            <w:bottom w:val="none" w:sz="0" w:space="0" w:color="auto"/>
                            <w:right w:val="none" w:sz="0" w:space="0" w:color="auto"/>
                          </w:divBdr>
                          <w:divsChild>
                            <w:div w:id="2021807769">
                              <w:marLeft w:val="0"/>
                              <w:marRight w:val="0"/>
                              <w:marTop w:val="0"/>
                              <w:marBottom w:val="0"/>
                              <w:divBdr>
                                <w:top w:val="none" w:sz="0" w:space="0" w:color="auto"/>
                                <w:left w:val="none" w:sz="0" w:space="0" w:color="auto"/>
                                <w:bottom w:val="none" w:sz="0" w:space="0" w:color="auto"/>
                                <w:right w:val="none" w:sz="0" w:space="0" w:color="auto"/>
                              </w:divBdr>
                              <w:divsChild>
                                <w:div w:id="1652900307">
                                  <w:marLeft w:val="0"/>
                                  <w:marRight w:val="0"/>
                                  <w:marTop w:val="0"/>
                                  <w:marBottom w:val="0"/>
                                  <w:divBdr>
                                    <w:top w:val="none" w:sz="0" w:space="0" w:color="auto"/>
                                    <w:left w:val="none" w:sz="0" w:space="0" w:color="auto"/>
                                    <w:bottom w:val="none" w:sz="0" w:space="0" w:color="auto"/>
                                    <w:right w:val="none" w:sz="0" w:space="0" w:color="auto"/>
                                  </w:divBdr>
                                </w:div>
                                <w:div w:id="17747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446982">
      <w:bodyDiv w:val="1"/>
      <w:marLeft w:val="0"/>
      <w:marRight w:val="0"/>
      <w:marTop w:val="0"/>
      <w:marBottom w:val="0"/>
      <w:divBdr>
        <w:top w:val="none" w:sz="0" w:space="0" w:color="auto"/>
        <w:left w:val="none" w:sz="0" w:space="0" w:color="auto"/>
        <w:bottom w:val="none" w:sz="0" w:space="0" w:color="auto"/>
        <w:right w:val="none" w:sz="0" w:space="0" w:color="auto"/>
      </w:divBdr>
      <w:divsChild>
        <w:div w:id="550306672">
          <w:marLeft w:val="0"/>
          <w:marRight w:val="0"/>
          <w:marTop w:val="0"/>
          <w:marBottom w:val="0"/>
          <w:divBdr>
            <w:top w:val="none" w:sz="0" w:space="0" w:color="auto"/>
            <w:left w:val="none" w:sz="0" w:space="0" w:color="auto"/>
            <w:bottom w:val="none" w:sz="0" w:space="0" w:color="auto"/>
            <w:right w:val="none" w:sz="0" w:space="0" w:color="auto"/>
          </w:divBdr>
          <w:divsChild>
            <w:div w:id="1553274675">
              <w:marLeft w:val="150"/>
              <w:marRight w:val="150"/>
              <w:marTop w:val="0"/>
              <w:marBottom w:val="150"/>
              <w:divBdr>
                <w:top w:val="none" w:sz="0" w:space="0" w:color="auto"/>
                <w:left w:val="none" w:sz="0" w:space="0" w:color="auto"/>
                <w:bottom w:val="none" w:sz="0" w:space="0" w:color="auto"/>
                <w:right w:val="none" w:sz="0" w:space="0" w:color="auto"/>
              </w:divBdr>
              <w:divsChild>
                <w:div w:id="223374156">
                  <w:marLeft w:val="0"/>
                  <w:marRight w:val="0"/>
                  <w:marTop w:val="0"/>
                  <w:marBottom w:val="0"/>
                  <w:divBdr>
                    <w:top w:val="none" w:sz="0" w:space="0" w:color="auto"/>
                    <w:left w:val="none" w:sz="0" w:space="0" w:color="auto"/>
                    <w:bottom w:val="none" w:sz="0" w:space="0" w:color="auto"/>
                    <w:right w:val="none" w:sz="0" w:space="0" w:color="auto"/>
                  </w:divBdr>
                  <w:divsChild>
                    <w:div w:id="1414161846">
                      <w:marLeft w:val="0"/>
                      <w:marRight w:val="0"/>
                      <w:marTop w:val="0"/>
                      <w:marBottom w:val="0"/>
                      <w:divBdr>
                        <w:top w:val="none" w:sz="0" w:space="0" w:color="auto"/>
                        <w:left w:val="none" w:sz="0" w:space="0" w:color="auto"/>
                        <w:bottom w:val="none" w:sz="0" w:space="0" w:color="auto"/>
                        <w:right w:val="none" w:sz="0" w:space="0" w:color="auto"/>
                      </w:divBdr>
                      <w:divsChild>
                        <w:div w:id="769817788">
                          <w:marLeft w:val="0"/>
                          <w:marRight w:val="0"/>
                          <w:marTop w:val="0"/>
                          <w:marBottom w:val="0"/>
                          <w:divBdr>
                            <w:top w:val="none" w:sz="0" w:space="0" w:color="auto"/>
                            <w:left w:val="none" w:sz="0" w:space="0" w:color="auto"/>
                            <w:bottom w:val="none" w:sz="0" w:space="0" w:color="auto"/>
                            <w:right w:val="none" w:sz="0" w:space="0" w:color="auto"/>
                          </w:divBdr>
                          <w:divsChild>
                            <w:div w:id="1319769501">
                              <w:marLeft w:val="0"/>
                              <w:marRight w:val="0"/>
                              <w:marTop w:val="0"/>
                              <w:marBottom w:val="0"/>
                              <w:divBdr>
                                <w:top w:val="none" w:sz="0" w:space="0" w:color="auto"/>
                                <w:left w:val="none" w:sz="0" w:space="0" w:color="auto"/>
                                <w:bottom w:val="none" w:sz="0" w:space="0" w:color="auto"/>
                                <w:right w:val="none" w:sz="0" w:space="0" w:color="auto"/>
                              </w:divBdr>
                              <w:divsChild>
                                <w:div w:id="46343637">
                                  <w:marLeft w:val="0"/>
                                  <w:marRight w:val="0"/>
                                  <w:marTop w:val="0"/>
                                  <w:marBottom w:val="0"/>
                                  <w:divBdr>
                                    <w:top w:val="none" w:sz="0" w:space="0" w:color="auto"/>
                                    <w:left w:val="none" w:sz="0" w:space="0" w:color="auto"/>
                                    <w:bottom w:val="none" w:sz="0" w:space="0" w:color="auto"/>
                                    <w:right w:val="none" w:sz="0" w:space="0" w:color="auto"/>
                                  </w:divBdr>
                                </w:div>
                                <w:div w:id="2061859561">
                                  <w:marLeft w:val="0"/>
                                  <w:marRight w:val="0"/>
                                  <w:marTop w:val="0"/>
                                  <w:marBottom w:val="0"/>
                                  <w:divBdr>
                                    <w:top w:val="none" w:sz="0" w:space="0" w:color="auto"/>
                                    <w:left w:val="none" w:sz="0" w:space="0" w:color="auto"/>
                                    <w:bottom w:val="none" w:sz="0" w:space="0" w:color="auto"/>
                                    <w:right w:val="none" w:sz="0" w:space="0" w:color="auto"/>
                                  </w:divBdr>
                                </w:div>
                                <w:div w:id="312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xeu.org/index.php?q=forward&amp;path=node/7125" TargetMode="External"/><Relationship Id="rId13" Type="http://schemas.openxmlformats.org/officeDocument/2006/relationships/hyperlink" Target="http://www.voxeu.org/index.php?q=node/7125" TargetMode="External"/><Relationship Id="rId18" Type="http://schemas.openxmlformats.org/officeDocument/2006/relationships/hyperlink" Target="http://www.voxeu.org/index.php?q=node/8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voxeu.org/index.php?q=node/7125" TargetMode="External"/><Relationship Id="rId12" Type="http://schemas.openxmlformats.org/officeDocument/2006/relationships/hyperlink" Target="http://www.voxeu.org/index.php?q=node/7125" TargetMode="External"/><Relationship Id="rId17" Type="http://schemas.openxmlformats.org/officeDocument/2006/relationships/hyperlink" Target="http://www.voxeu.org/index.php?q=user/login&amp;destination=comment/reply/7051" TargetMode="External"/><Relationship Id="rId2" Type="http://schemas.openxmlformats.org/officeDocument/2006/relationships/styles" Target="styles.xml"/><Relationship Id="rId16" Type="http://schemas.openxmlformats.org/officeDocument/2006/relationships/hyperlink" Target="http://www.voxeu.org/index.php?q=node/8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voxeu.org/index.php?q=node/640" TargetMode="External"/><Relationship Id="rId11" Type="http://schemas.openxmlformats.org/officeDocument/2006/relationships/hyperlink" Target="http://www.voxeu.org/index.php?q=node/7125" TargetMode="External"/><Relationship Id="rId5" Type="http://schemas.openxmlformats.org/officeDocument/2006/relationships/hyperlink" Target="http://www.voxeu.org/index.php?q=node/639" TargetMode="External"/><Relationship Id="rId15" Type="http://schemas.openxmlformats.org/officeDocument/2006/relationships/hyperlink" Target="http://www.voxeu.org/index.php?q=node/87" TargetMode="External"/><Relationship Id="rId10" Type="http://schemas.openxmlformats.org/officeDocument/2006/relationships/hyperlink" Target="http://www.voxeu.org/index.php?q=node/87" TargetMode="External"/><Relationship Id="rId19" Type="http://schemas.openxmlformats.org/officeDocument/2006/relationships/hyperlink" Target="http://www.voxeu.org/index.php?q=node/86" TargetMode="External"/><Relationship Id="rId4" Type="http://schemas.openxmlformats.org/officeDocument/2006/relationships/webSettings" Target="webSettings.xml"/><Relationship Id="rId9" Type="http://schemas.openxmlformats.org/officeDocument/2006/relationships/hyperlink" Target="http://www.voxeu.org/index.php?q=node/7125" TargetMode="External"/><Relationship Id="rId14" Type="http://schemas.openxmlformats.org/officeDocument/2006/relationships/hyperlink" Target="http://www.voxeu.org/index.php?q=user/login&amp;destination=comment/reply/70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2234</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2011-11-05T16:54:00Z</dcterms:created>
  <dcterms:modified xsi:type="dcterms:W3CDTF">2011-11-08T15:28:00Z</dcterms:modified>
</cp:coreProperties>
</file>