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60F" w:rsidRDefault="00DD660F" w:rsidP="00430959">
      <w:pPr>
        <w:pStyle w:val="Heading1"/>
        <w:shd w:val="clear" w:color="auto" w:fill="FFFFFF"/>
        <w:spacing w:before="0" w:after="0"/>
        <w:rPr>
          <w:rFonts w:ascii="Trebuchet MS" w:hAnsi="Trebuchet MS"/>
          <w:b w:val="0"/>
          <w:bCs w:val="0"/>
          <w:color w:val="6191C5"/>
          <w:sz w:val="40"/>
          <w:szCs w:val="40"/>
        </w:rPr>
      </w:pPr>
    </w:p>
    <w:p w:rsidR="00430959" w:rsidRDefault="00430959" w:rsidP="00430959">
      <w:pPr>
        <w:pStyle w:val="Heading1"/>
        <w:shd w:val="clear" w:color="auto" w:fill="FFFFFF"/>
        <w:spacing w:before="0" w:after="0"/>
        <w:rPr>
          <w:rFonts w:ascii="Trebuchet MS" w:hAnsi="Trebuchet MS"/>
          <w:b w:val="0"/>
          <w:bCs w:val="0"/>
          <w:color w:val="6191C5"/>
          <w:sz w:val="40"/>
          <w:szCs w:val="40"/>
        </w:rPr>
      </w:pPr>
      <w:r>
        <w:rPr>
          <w:rFonts w:ascii="Trebuchet MS" w:hAnsi="Trebuchet MS"/>
          <w:b w:val="0"/>
          <w:bCs w:val="0"/>
          <w:color w:val="6191C5"/>
          <w:sz w:val="40"/>
          <w:szCs w:val="40"/>
        </w:rPr>
        <w:t>The fiscal stimulus of 2009-10: Trade openness, fiscal space, and exchange-rate adjustment</w:t>
      </w:r>
    </w:p>
    <w:tbl>
      <w:tblPr>
        <w:tblW w:w="5000" w:type="pct"/>
        <w:tblCellMar>
          <w:top w:w="15" w:type="dxa"/>
          <w:left w:w="15" w:type="dxa"/>
          <w:bottom w:w="15" w:type="dxa"/>
          <w:right w:w="15" w:type="dxa"/>
        </w:tblCellMar>
        <w:tblLook w:val="04A0"/>
      </w:tblPr>
      <w:tblGrid>
        <w:gridCol w:w="6892"/>
        <w:gridCol w:w="2298"/>
      </w:tblGrid>
      <w:tr w:rsidR="00430959" w:rsidTr="00430959">
        <w:tc>
          <w:tcPr>
            <w:tcW w:w="0" w:type="auto"/>
            <w:tcMar>
              <w:top w:w="60" w:type="dxa"/>
              <w:left w:w="60" w:type="dxa"/>
              <w:bottom w:w="60" w:type="dxa"/>
              <w:right w:w="60" w:type="dxa"/>
            </w:tcMar>
            <w:hideMark/>
          </w:tcPr>
          <w:p w:rsidR="00430959" w:rsidRDefault="006B4D8A" w:rsidP="00430959">
            <w:pPr>
              <w:pStyle w:val="NormalWeb"/>
              <w:rPr>
                <w:rFonts w:ascii="Arial" w:hAnsi="Arial" w:cs="Arial"/>
                <w:sz w:val="20"/>
                <w:szCs w:val="20"/>
              </w:rPr>
            </w:pPr>
            <w:hyperlink r:id="rId5" w:history="1">
              <w:r w:rsidR="00430959">
                <w:rPr>
                  <w:rStyle w:val="Hyperlink"/>
                  <w:sz w:val="20"/>
                  <w:szCs w:val="20"/>
                </w:rPr>
                <w:t>Joshua Aizenman</w:t>
              </w:r>
            </w:hyperlink>
            <w:r w:rsidR="00430959">
              <w:rPr>
                <w:rFonts w:ascii="Arial" w:hAnsi="Arial" w:cs="Arial"/>
                <w:sz w:val="20"/>
                <w:szCs w:val="20"/>
              </w:rPr>
              <w:t xml:space="preserve"> </w:t>
            </w:r>
            <w:hyperlink r:id="rId6" w:history="1">
              <w:r w:rsidR="00430959">
                <w:rPr>
                  <w:rStyle w:val="Hyperlink"/>
                  <w:sz w:val="20"/>
                  <w:szCs w:val="20"/>
                </w:rPr>
                <w:t>Yothin Jinjarak</w:t>
              </w:r>
            </w:hyperlink>
            <w:r w:rsidR="00430959">
              <w:rPr>
                <w:rFonts w:ascii="Arial" w:hAnsi="Arial" w:cs="Arial"/>
                <w:sz w:val="20"/>
                <w:szCs w:val="20"/>
              </w:rPr>
              <w:br/>
              <w:t>30 September 2011, VOX.EU</w:t>
            </w:r>
          </w:p>
          <w:p w:rsidR="00430959" w:rsidRDefault="00430959" w:rsidP="00430959">
            <w:pPr>
              <w:pStyle w:val="NormalWeb"/>
              <w:rPr>
                <w:rFonts w:ascii="Arial" w:hAnsi="Arial" w:cs="Arial"/>
                <w:sz w:val="20"/>
                <w:szCs w:val="20"/>
              </w:rPr>
            </w:pPr>
          </w:p>
        </w:tc>
        <w:tc>
          <w:tcPr>
            <w:tcW w:w="1250" w:type="pct"/>
            <w:tcMar>
              <w:top w:w="60" w:type="dxa"/>
              <w:left w:w="60" w:type="dxa"/>
              <w:bottom w:w="60" w:type="dxa"/>
              <w:right w:w="60" w:type="dxa"/>
            </w:tcMar>
            <w:hideMark/>
          </w:tcPr>
          <w:p w:rsidR="00430959" w:rsidRDefault="006B4D8A" w:rsidP="00430959">
            <w:pPr>
              <w:jc w:val="right"/>
              <w:rPr>
                <w:rFonts w:ascii="Arial" w:hAnsi="Arial" w:cs="Arial"/>
                <w:vanish/>
                <w:sz w:val="20"/>
                <w:szCs w:val="20"/>
              </w:rPr>
            </w:pPr>
            <w:hyperlink r:id="rId7" w:history="1">
              <w:r w:rsidR="00430959">
                <w:rPr>
                  <w:rStyle w:val="Hyperlink"/>
                  <w:b/>
                  <w:bCs/>
                  <w:vanish/>
                  <w:sz w:val="20"/>
                  <w:szCs w:val="20"/>
                </w:rPr>
                <w:t>Print</w:t>
              </w:r>
            </w:hyperlink>
            <w:r w:rsidR="00430959">
              <w:rPr>
                <w:rFonts w:ascii="Arial" w:hAnsi="Arial" w:cs="Arial"/>
                <w:vanish/>
                <w:sz w:val="20"/>
                <w:szCs w:val="20"/>
              </w:rPr>
              <w:t xml:space="preserve"> </w:t>
            </w:r>
            <w:hyperlink r:id="rId8" w:history="1">
              <w:r w:rsidR="00430959">
                <w:rPr>
                  <w:rStyle w:val="Hyperlink"/>
                  <w:b/>
                  <w:bCs/>
                  <w:vanish/>
                  <w:sz w:val="20"/>
                  <w:szCs w:val="20"/>
                </w:rPr>
                <w:t>Email</w:t>
              </w:r>
            </w:hyperlink>
            <w:r w:rsidR="00430959">
              <w:rPr>
                <w:rFonts w:ascii="Arial" w:hAnsi="Arial" w:cs="Arial"/>
                <w:vanish/>
                <w:sz w:val="20"/>
                <w:szCs w:val="20"/>
              </w:rPr>
              <w:br/>
            </w:r>
            <w:hyperlink r:id="rId9" w:anchor="comments" w:history="1">
              <w:r w:rsidR="00430959">
                <w:rPr>
                  <w:rStyle w:val="Hyperlink"/>
                  <w:b/>
                  <w:bCs/>
                  <w:vanish/>
                  <w:sz w:val="20"/>
                  <w:szCs w:val="20"/>
                </w:rPr>
                <w:t>Comment</w:t>
              </w:r>
            </w:hyperlink>
            <w:r w:rsidR="00430959">
              <w:rPr>
                <w:rFonts w:ascii="Arial" w:hAnsi="Arial" w:cs="Arial"/>
                <w:vanish/>
                <w:sz w:val="20"/>
                <w:szCs w:val="20"/>
              </w:rPr>
              <w:t xml:space="preserve"> </w:t>
            </w:r>
            <w:hyperlink r:id="rId10" w:tgtFrame="_new" w:history="1">
              <w:r w:rsidR="00430959">
                <w:rPr>
                  <w:rStyle w:val="Hyperlink"/>
                  <w:b/>
                  <w:bCs/>
                  <w:vanish/>
                  <w:sz w:val="20"/>
                  <w:szCs w:val="20"/>
                </w:rPr>
                <w:t>Republish</w:t>
              </w:r>
            </w:hyperlink>
          </w:p>
        </w:tc>
      </w:tr>
    </w:tbl>
    <w:p w:rsidR="00430959" w:rsidRDefault="00430959" w:rsidP="00430959">
      <w:pPr>
        <w:shd w:val="clear" w:color="auto" w:fill="FFFFFF"/>
        <w:spacing w:line="360" w:lineRule="atLeast"/>
        <w:rPr>
          <w:rFonts w:ascii="Verdana" w:hAnsi="Verdana" w:cs="Arial"/>
          <w:vanish/>
          <w:color w:val="111111"/>
          <w:sz w:val="18"/>
          <w:szCs w:val="18"/>
        </w:rPr>
      </w:pPr>
    </w:p>
    <w:tbl>
      <w:tblPr>
        <w:tblW w:w="5000" w:type="pct"/>
        <w:tblCellMar>
          <w:top w:w="15" w:type="dxa"/>
          <w:left w:w="15" w:type="dxa"/>
          <w:bottom w:w="15" w:type="dxa"/>
          <w:right w:w="15" w:type="dxa"/>
        </w:tblCellMar>
        <w:tblLook w:val="04A0"/>
      </w:tblPr>
      <w:tblGrid>
        <w:gridCol w:w="9190"/>
      </w:tblGrid>
      <w:tr w:rsidR="00430959" w:rsidTr="00430959">
        <w:tc>
          <w:tcPr>
            <w:tcW w:w="3950" w:type="pct"/>
            <w:tcMar>
              <w:top w:w="60" w:type="dxa"/>
              <w:left w:w="60" w:type="dxa"/>
              <w:bottom w:w="60" w:type="dxa"/>
              <w:right w:w="60" w:type="dxa"/>
            </w:tcMar>
            <w:hideMark/>
          </w:tcPr>
          <w:p w:rsidR="00430959" w:rsidRDefault="00430959">
            <w:pPr>
              <w:pStyle w:val="NormalWeb"/>
              <w:divId w:val="1667712087"/>
              <w:rPr>
                <w:rFonts w:ascii="Arial" w:hAnsi="Arial" w:cs="Arial"/>
                <w:i/>
                <w:iCs/>
                <w:sz w:val="20"/>
                <w:szCs w:val="20"/>
              </w:rPr>
            </w:pPr>
            <w:r>
              <w:rPr>
                <w:rFonts w:ascii="Arial" w:hAnsi="Arial" w:cs="Arial"/>
                <w:i/>
                <w:iCs/>
                <w:sz w:val="20"/>
                <w:szCs w:val="20"/>
              </w:rPr>
              <w:t>In the immediate fallout from the global crisis, governments around the world responded by spending big. Yet despite the talk of international coordination, this wasn’t the case in all countries. This column explores why. It finds that trade openness, fiscal space, and exchange-rate policy played a pivotal role.</w:t>
            </w:r>
          </w:p>
          <w:p w:rsidR="00430959" w:rsidRDefault="00430959">
            <w:pPr>
              <w:jc w:val="both"/>
              <w:rPr>
                <w:rFonts w:ascii="Arial" w:hAnsi="Arial" w:cs="Arial"/>
                <w:sz w:val="20"/>
                <w:szCs w:val="20"/>
              </w:rPr>
            </w:pPr>
          </w:p>
          <w:p w:rsidR="00430959" w:rsidRDefault="00430959">
            <w:pPr>
              <w:pStyle w:val="NormalWeb"/>
              <w:jc w:val="both"/>
              <w:rPr>
                <w:rFonts w:ascii="Arial" w:hAnsi="Arial" w:cs="Arial"/>
                <w:sz w:val="20"/>
                <w:szCs w:val="20"/>
              </w:rPr>
            </w:pPr>
            <w:r>
              <w:rPr>
                <w:rFonts w:ascii="Arial" w:hAnsi="Arial" w:cs="Arial"/>
                <w:sz w:val="20"/>
                <w:szCs w:val="20"/>
              </w:rPr>
              <w:t xml:space="preserve">In the first phase of the 2008-09 global crisis, Keynes’ concerns expressed in </w:t>
            </w:r>
            <w:r>
              <w:rPr>
                <w:rFonts w:ascii="Arial" w:hAnsi="Arial" w:cs="Arial"/>
                <w:i/>
                <w:iCs/>
                <w:sz w:val="20"/>
                <w:szCs w:val="20"/>
              </w:rPr>
              <w:t>The World’s Economic Outlook</w:t>
            </w:r>
            <w:r>
              <w:rPr>
                <w:rFonts w:ascii="Arial" w:hAnsi="Arial" w:cs="Arial"/>
                <w:sz w:val="20"/>
                <w:szCs w:val="20"/>
              </w:rPr>
              <w:t xml:space="preserve"> (1932) were taken seriously:</w:t>
            </w:r>
          </w:p>
          <w:p w:rsidR="00430959" w:rsidRDefault="00430959" w:rsidP="00430959">
            <w:pPr>
              <w:pStyle w:val="NormalWeb"/>
              <w:jc w:val="both"/>
              <w:rPr>
                <w:rFonts w:ascii="Arial" w:hAnsi="Arial" w:cs="Arial"/>
                <w:i/>
                <w:iCs/>
                <w:sz w:val="20"/>
                <w:szCs w:val="20"/>
              </w:rPr>
            </w:pPr>
            <w:r>
              <w:rPr>
                <w:rFonts w:ascii="Arial" w:hAnsi="Arial" w:cs="Arial"/>
                <w:i/>
                <w:iCs/>
                <w:sz w:val="20"/>
                <w:szCs w:val="20"/>
              </w:rPr>
              <w:t>Competitive wage reductions, competitive tariffs, competitive liquidation of foreign assets, competitive currency deflations, competitive economy campaigns -- all are of this beggar-my-neighbour description. For one man's expenditure is another man's income. Thus, while we undoubtedly increase our own margin, we diminish that of someone else; and if the practice is universally followed everyone will be worse off.</w:t>
            </w:r>
          </w:p>
          <w:p w:rsidR="00430959" w:rsidRDefault="00430959">
            <w:pPr>
              <w:pStyle w:val="NormalWeb"/>
              <w:jc w:val="both"/>
              <w:rPr>
                <w:rFonts w:ascii="Arial" w:hAnsi="Arial" w:cs="Arial"/>
                <w:sz w:val="20"/>
                <w:szCs w:val="20"/>
              </w:rPr>
            </w:pPr>
            <w:r>
              <w:rPr>
                <w:rFonts w:ascii="Arial" w:hAnsi="Arial" w:cs="Arial"/>
                <w:sz w:val="20"/>
                <w:szCs w:val="20"/>
              </w:rPr>
              <w:t>Reading these words in the months after Lehman Brothers collapsed, countries adopted sizable fiscal stimuli, augmented by unprecedented monetary expansions supported by elastic swap lines between the Federal Reserve and the European Central Bank, and between the Fed and four emerging markets. The flight to quality and the shortage of dollar liquidity posed a special challenge for emerging markets, causing them to supplement these policies with both large sales of foreign currencies at the height of the crisis and with sizeable depreciations.</w:t>
            </w:r>
          </w:p>
          <w:p w:rsidR="00430959" w:rsidRDefault="00430959">
            <w:pPr>
              <w:pStyle w:val="NormalWeb"/>
              <w:jc w:val="both"/>
              <w:rPr>
                <w:rFonts w:ascii="Arial" w:hAnsi="Arial" w:cs="Arial"/>
                <w:sz w:val="20"/>
                <w:szCs w:val="20"/>
              </w:rPr>
            </w:pPr>
            <w:r>
              <w:rPr>
                <w:rFonts w:ascii="Arial" w:hAnsi="Arial" w:cs="Arial"/>
                <w:sz w:val="20"/>
                <w:szCs w:val="20"/>
              </w:rPr>
              <w:t xml:space="preserve">Yet, there has been a remarkable heterogeneity in the magnitudes of the fiscal stimuli and of the exchange-rate depreciation. In </w:t>
            </w:r>
            <w:hyperlink r:id="rId11" w:history="1">
              <w:r>
                <w:rPr>
                  <w:rStyle w:val="Hyperlink"/>
                  <w:sz w:val="20"/>
                  <w:szCs w:val="20"/>
                </w:rPr>
                <w:t>Aizenman and Jinjarak</w:t>
              </w:r>
            </w:hyperlink>
            <w:r>
              <w:rPr>
                <w:rFonts w:ascii="Arial" w:hAnsi="Arial" w:cs="Arial"/>
                <w:sz w:val="20"/>
                <w:szCs w:val="20"/>
              </w:rPr>
              <w:t xml:space="preserve"> (2011), we study the response heterogeneity of countries during the crisis, identifying the associations of economic structure (trade openness, fiscal capacity, etc), the size of fiscal stimuli, and the exchange-rate depreciations during the crisis. The crisis led to a significant fiscal stimulus in the US, Japan, and Germany, the magnitude of which increased from 2009 to 2010, reflecting various lags associated with fiscal policy. China, South Korea, and Russia provided front-loaded fiscal stimulus at rates that were well above that observed in most OECD countries. Notable is the greater agility of the emerging markets’ response relative to that of the OECD countries, reflecting possibly faster policy-response capacity of several emerging markets, and possibly the deeper safety net of the OECD, where unemployment insurance, food stamps, social security, socialised medical care, etc. provides automatic stabilisers that work to cushion the economy in addition to the crisis-related stimulus (see Dolls </w:t>
            </w:r>
            <w:r>
              <w:rPr>
                <w:rFonts w:ascii="Arial" w:hAnsi="Arial" w:cs="Arial"/>
                <w:i/>
                <w:iCs/>
                <w:sz w:val="20"/>
                <w:szCs w:val="20"/>
              </w:rPr>
              <w:t>et al</w:t>
            </w:r>
            <w:r>
              <w:rPr>
                <w:rFonts w:ascii="Arial" w:hAnsi="Arial" w:cs="Arial"/>
                <w:sz w:val="20"/>
                <w:szCs w:val="20"/>
              </w:rPr>
              <w:t xml:space="preserve"> 2010). In contrast, emerging markets with a more limited safety net but with larger fiscal space tend to benefit by a more aggressive crisis-related fiscal stimulus, compensating partially for the absence of deeper social insurance.</w:t>
            </w:r>
          </w:p>
          <w:p w:rsidR="00430959" w:rsidRDefault="00430959">
            <w:pPr>
              <w:pStyle w:val="NormalWeb"/>
              <w:jc w:val="both"/>
              <w:rPr>
                <w:rFonts w:ascii="Arial" w:hAnsi="Arial" w:cs="Arial"/>
                <w:sz w:val="20"/>
                <w:szCs w:val="20"/>
              </w:rPr>
            </w:pPr>
            <w:r>
              <w:rPr>
                <w:rFonts w:ascii="Arial" w:hAnsi="Arial" w:cs="Arial"/>
                <w:sz w:val="20"/>
                <w:szCs w:val="20"/>
              </w:rPr>
              <w:t>A useful theoretical anchor predicting such heterogeneity is the neo-Keynesian open-economy, as provided by the Meade’s (1951) framework. The textbook Meade model implies that at times of collapsing aggregate demand, economies that are more closed (or less open) should opt for a larger fiscal stimulus, and should rely less on exchange-rate depreciation. Trade openness implies lower fiscal multipliers, as a share of the stimuli would ‘leak.’ Trade openness may also increase the potency of exchange-rate depreciation relative to the fiscal stimulus in mitigating the drop in demand for exportable goods, acting as a demand-switching policy, whereby the improved competitiveness of a country increases the demand for net exports.</w:t>
            </w:r>
          </w:p>
          <w:p w:rsidR="00430959" w:rsidRDefault="00430959">
            <w:pPr>
              <w:pStyle w:val="NormalWeb"/>
              <w:jc w:val="both"/>
              <w:rPr>
                <w:rFonts w:ascii="Arial" w:hAnsi="Arial" w:cs="Arial"/>
                <w:sz w:val="20"/>
                <w:szCs w:val="20"/>
              </w:rPr>
            </w:pPr>
            <w:r>
              <w:rPr>
                <w:rFonts w:ascii="Arial" w:hAnsi="Arial" w:cs="Arial"/>
                <w:sz w:val="20"/>
                <w:szCs w:val="20"/>
              </w:rPr>
              <w:t xml:space="preserve">Fiscal policy is predicated on fiscal space and fiscal capacities. While the notion of fiscal space is fuzzy, it deals with the degree to which a country has the ability to fund a fiscal stimulus without a sizable increase in the real interest rate. The presumption is that public debt overhang (like higher public debt/GDP) reduces the ability to fund fiscal stimuli. Indeed, public debt/GDP has been frequently used by the literature and by policymakers as an important indicator for the soundness of policies, and as a measure of exposure to confidence crises. The Maastricht criteria imposed thresholds of public debt/GDP below 60%, and fiscal deficit/GDP below 3% as criteria for joining the euro. Yet, a given ratio of the public debt/GDP, say 60%, is consistent with ample fiscal space in countries where the average tax collection is about or above 50% of the GDP, as is the case in </w:t>
            </w:r>
            <w:r>
              <w:rPr>
                <w:rFonts w:ascii="Arial" w:hAnsi="Arial" w:cs="Arial"/>
                <w:sz w:val="20"/>
                <w:szCs w:val="20"/>
              </w:rPr>
              <w:lastRenderedPageBreak/>
              <w:t>France, Germany, and in most northern European countries. The same public debt ratio is associated with a limited fiscal space in countries where the average tax collection is about or below 25%, as has been the case in developing countries, emerging markets, and the Eurozone peripheral countries (Greece, Ireland, Italy, Portugal, and Spain).</w:t>
            </w:r>
          </w:p>
          <w:p w:rsidR="00430959" w:rsidRDefault="00430959">
            <w:pPr>
              <w:pStyle w:val="NormalWeb"/>
              <w:jc w:val="both"/>
              <w:rPr>
                <w:rFonts w:ascii="Arial" w:hAnsi="Arial" w:cs="Arial"/>
                <w:sz w:val="20"/>
                <w:szCs w:val="20"/>
              </w:rPr>
            </w:pPr>
            <w:r>
              <w:rPr>
                <w:rFonts w:ascii="Arial" w:hAnsi="Arial" w:cs="Arial"/>
                <w:sz w:val="20"/>
                <w:szCs w:val="20"/>
              </w:rPr>
              <w:t>Instead of a normalisation of public debt and fiscal deficit by the GDP, we argue that the tax revenue as a share of the GDP, averaged across the business cycle, provides a more efficient way of normalising macro public finance data. We define this ratio as the (</w:t>
            </w:r>
            <w:r>
              <w:rPr>
                <w:rFonts w:ascii="Arial" w:hAnsi="Arial" w:cs="Arial"/>
                <w:i/>
                <w:iCs/>
                <w:sz w:val="20"/>
                <w:szCs w:val="20"/>
              </w:rPr>
              <w:t>de facto</w:t>
            </w:r>
            <w:r>
              <w:rPr>
                <w:rFonts w:ascii="Arial" w:hAnsi="Arial" w:cs="Arial"/>
                <w:sz w:val="20"/>
                <w:szCs w:val="20"/>
              </w:rPr>
              <w:t>) tax base: short of a drastic change in tax rates and tax enforcement, the tax base provides a concise summary of the tax capability. The (</w:t>
            </w:r>
            <w:r>
              <w:rPr>
                <w:rFonts w:ascii="Arial" w:hAnsi="Arial" w:cs="Arial"/>
                <w:i/>
                <w:iCs/>
                <w:sz w:val="20"/>
                <w:szCs w:val="20"/>
              </w:rPr>
              <w:t>de facto</w:t>
            </w:r>
            <w:r>
              <w:rPr>
                <w:rFonts w:ascii="Arial" w:hAnsi="Arial" w:cs="Arial"/>
                <w:sz w:val="20"/>
                <w:szCs w:val="20"/>
              </w:rPr>
              <w:t xml:space="preserve">) tax base reflects both the ability and the willingness of a country to fund fiscal expenditure and transfers. Across countries, we find that the </w:t>
            </w:r>
            <w:r>
              <w:rPr>
                <w:rFonts w:ascii="Arial" w:hAnsi="Arial" w:cs="Arial"/>
                <w:i/>
                <w:iCs/>
                <w:sz w:val="20"/>
                <w:szCs w:val="20"/>
              </w:rPr>
              <w:t>de facto</w:t>
            </w:r>
            <w:r>
              <w:rPr>
                <w:rFonts w:ascii="Arial" w:hAnsi="Arial" w:cs="Arial"/>
                <w:sz w:val="20"/>
                <w:szCs w:val="20"/>
              </w:rPr>
              <w:t xml:space="preserve"> tax base is more stable than public debt/GDP, and public debt/GDP normalised by the </w:t>
            </w:r>
            <w:r>
              <w:rPr>
                <w:rFonts w:ascii="Arial" w:hAnsi="Arial" w:cs="Arial"/>
                <w:i/>
                <w:iCs/>
                <w:sz w:val="20"/>
                <w:szCs w:val="20"/>
              </w:rPr>
              <w:t>de facto</w:t>
            </w:r>
            <w:r>
              <w:rPr>
                <w:rFonts w:ascii="Arial" w:hAnsi="Arial" w:cs="Arial"/>
                <w:sz w:val="20"/>
                <w:szCs w:val="20"/>
              </w:rPr>
              <w:t xml:space="preserve"> tax base is more volatile than public debt/GDP. The public debt/GDP normalised by the </w:t>
            </w:r>
            <w:r>
              <w:rPr>
                <w:rFonts w:ascii="Arial" w:hAnsi="Arial" w:cs="Arial"/>
                <w:i/>
                <w:iCs/>
                <w:sz w:val="20"/>
                <w:szCs w:val="20"/>
              </w:rPr>
              <w:t>de facto</w:t>
            </w:r>
            <w:r>
              <w:rPr>
                <w:rFonts w:ascii="Arial" w:hAnsi="Arial" w:cs="Arial"/>
                <w:sz w:val="20"/>
                <w:szCs w:val="20"/>
              </w:rPr>
              <w:t xml:space="preserve"> tax base is subject to greater cross-country variation, and provides a more robust explanation for the scale of fiscal stimuli. Essentially, the public debt/GDP normalised by the </w:t>
            </w:r>
            <w:r>
              <w:rPr>
                <w:rFonts w:ascii="Arial" w:hAnsi="Arial" w:cs="Arial"/>
                <w:i/>
                <w:iCs/>
                <w:sz w:val="20"/>
                <w:szCs w:val="20"/>
              </w:rPr>
              <w:t>de facto</w:t>
            </w:r>
            <w:r>
              <w:rPr>
                <w:rFonts w:ascii="Arial" w:hAnsi="Arial" w:cs="Arial"/>
                <w:sz w:val="20"/>
                <w:szCs w:val="20"/>
              </w:rPr>
              <w:t xml:space="preserve"> tax base measures the average tax-years that it would take to ‘buy’ the outstanding public debt, and provides a stock measure of public debt overhang. We view this measure as a more fundamental metric for fiscal space, as it links the public debt to the resources the public sector can mobilise without drastic change of the social contract. Consequently, we define the </w:t>
            </w:r>
            <w:r>
              <w:rPr>
                <w:rFonts w:ascii="Arial" w:hAnsi="Arial" w:cs="Arial"/>
                <w:i/>
                <w:iCs/>
                <w:sz w:val="20"/>
                <w:szCs w:val="20"/>
              </w:rPr>
              <w:t>de facto</w:t>
            </w:r>
            <w:r>
              <w:rPr>
                <w:rFonts w:ascii="Arial" w:hAnsi="Arial" w:cs="Arial"/>
                <w:sz w:val="20"/>
                <w:szCs w:val="20"/>
              </w:rPr>
              <w:t xml:space="preserve"> fiscal space by the inverse of the average tax-years it would take to repay the public debt.</w:t>
            </w:r>
            <w:hyperlink r:id="rId12" w:anchor="fn1" w:history="1">
              <w:r>
                <w:rPr>
                  <w:rStyle w:val="Hyperlink"/>
                  <w:sz w:val="20"/>
                  <w:szCs w:val="20"/>
                  <w:vertAlign w:val="superscript"/>
                </w:rPr>
                <w:t>1</w:t>
              </w:r>
            </w:hyperlink>
          </w:p>
          <w:p w:rsidR="00430959" w:rsidRDefault="00430959">
            <w:pPr>
              <w:pStyle w:val="NormalWeb"/>
              <w:jc w:val="both"/>
              <w:rPr>
                <w:rFonts w:ascii="Arial" w:hAnsi="Arial" w:cs="Arial"/>
                <w:sz w:val="20"/>
                <w:szCs w:val="20"/>
              </w:rPr>
            </w:pPr>
            <w:r>
              <w:rPr>
                <w:rFonts w:ascii="Arial" w:hAnsi="Arial" w:cs="Arial"/>
                <w:sz w:val="20"/>
                <w:szCs w:val="20"/>
              </w:rPr>
              <w:t xml:space="preserve">Figure 1 shows the debt/GDP normalised by the average tax revenue/GDP, by country groups. The Figure shows that fiscal space was weakest (highest levels of public debt/average tax base) in the low and middle-income countries. Although fiscal space measures are stronger in the Eurozone peripheral countries than in low- and middle-income countries, its debt/GDP ratio is higher. Generally, the Eurozone peripheral countries had more limited fiscal space during the tranquil period than other OECD countries – higher average public debt relative to the tax base, and a higher level of public debt to GDP. Figure 1 is consistent with the notion that, even without increasing the tax base, a fair share of countries had significant fiscal space in 2006. The presumption is that a </w:t>
            </w:r>
            <w:r>
              <w:rPr>
                <w:rFonts w:ascii="Arial" w:hAnsi="Arial" w:cs="Arial"/>
                <w:i/>
                <w:iCs/>
                <w:sz w:val="20"/>
                <w:szCs w:val="20"/>
              </w:rPr>
              <w:t xml:space="preserve">lower </w:t>
            </w:r>
            <w:r>
              <w:rPr>
                <w:rFonts w:ascii="Arial" w:hAnsi="Arial" w:cs="Arial"/>
                <w:sz w:val="20"/>
                <w:szCs w:val="20"/>
              </w:rPr>
              <w:t>pre-crisis public debt/GDP relative to the pre-crisis tax base (</w:t>
            </w:r>
            <w:r>
              <w:rPr>
                <w:rFonts w:ascii="Arial" w:hAnsi="Arial" w:cs="Arial"/>
                <w:i/>
                <w:iCs/>
                <w:sz w:val="20"/>
                <w:szCs w:val="20"/>
              </w:rPr>
              <w:t>ie</w:t>
            </w:r>
            <w:r>
              <w:rPr>
                <w:rFonts w:ascii="Arial" w:hAnsi="Arial" w:cs="Arial"/>
                <w:sz w:val="20"/>
                <w:szCs w:val="20"/>
              </w:rPr>
              <w:t xml:space="preserve">, higher </w:t>
            </w:r>
            <w:r>
              <w:rPr>
                <w:rFonts w:ascii="Arial" w:hAnsi="Arial" w:cs="Arial"/>
                <w:i/>
                <w:iCs/>
                <w:sz w:val="20"/>
                <w:szCs w:val="20"/>
              </w:rPr>
              <w:t>de facto</w:t>
            </w:r>
            <w:r>
              <w:rPr>
                <w:rFonts w:ascii="Arial" w:hAnsi="Arial" w:cs="Arial"/>
                <w:sz w:val="20"/>
                <w:szCs w:val="20"/>
              </w:rPr>
              <w:t xml:space="preserve"> fiscal space) implies </w:t>
            </w:r>
            <w:r>
              <w:rPr>
                <w:rFonts w:ascii="Arial" w:hAnsi="Arial" w:cs="Arial"/>
                <w:i/>
                <w:iCs/>
                <w:sz w:val="20"/>
                <w:szCs w:val="20"/>
              </w:rPr>
              <w:t xml:space="preserve">greater </w:t>
            </w:r>
            <w:r>
              <w:rPr>
                <w:rFonts w:ascii="Arial" w:hAnsi="Arial" w:cs="Arial"/>
                <w:sz w:val="20"/>
                <w:szCs w:val="20"/>
              </w:rPr>
              <w:t>willingness to fund fiscal stimuli using the existing tax capacity. We apply these concepts in order to explain the cross-country variation in the fiscal stimulus during the aftermath of the global crisis.</w:t>
            </w:r>
          </w:p>
          <w:p w:rsidR="00DD660F" w:rsidRDefault="00DD660F">
            <w:pPr>
              <w:pStyle w:val="NormalWeb"/>
              <w:jc w:val="both"/>
              <w:rPr>
                <w:rFonts w:ascii="Arial" w:hAnsi="Arial" w:cs="Arial"/>
                <w:sz w:val="20"/>
                <w:szCs w:val="20"/>
              </w:rPr>
            </w:pPr>
          </w:p>
          <w:p w:rsidR="00430959" w:rsidRDefault="00430959">
            <w:pPr>
              <w:pStyle w:val="NormalWeb"/>
              <w:jc w:val="both"/>
              <w:rPr>
                <w:rFonts w:ascii="Arial" w:hAnsi="Arial" w:cs="Arial"/>
                <w:sz w:val="20"/>
                <w:szCs w:val="20"/>
              </w:rPr>
            </w:pPr>
            <w:r>
              <w:rPr>
                <w:rFonts w:ascii="Arial" w:hAnsi="Arial" w:cs="Arial"/>
                <w:b/>
                <w:bCs/>
                <w:sz w:val="20"/>
                <w:szCs w:val="20"/>
              </w:rPr>
              <w:t xml:space="preserve">Figure 1. </w:t>
            </w:r>
            <w:r>
              <w:rPr>
                <w:rFonts w:ascii="Arial" w:hAnsi="Arial" w:cs="Arial"/>
                <w:sz w:val="20"/>
                <w:szCs w:val="20"/>
              </w:rPr>
              <w:t>Average 2000-06 fiscal space by region</w:t>
            </w:r>
          </w:p>
          <w:p w:rsidR="00430959" w:rsidRDefault="00430959">
            <w:pPr>
              <w:pStyle w:val="NormalWeb"/>
              <w:jc w:val="both"/>
              <w:rPr>
                <w:rFonts w:ascii="Arial" w:hAnsi="Arial" w:cs="Arial"/>
                <w:sz w:val="20"/>
                <w:szCs w:val="20"/>
              </w:rPr>
            </w:pPr>
            <w:r>
              <w:rPr>
                <w:rFonts w:ascii="Arial" w:hAnsi="Arial" w:cs="Arial"/>
                <w:noProof/>
                <w:sz w:val="20"/>
                <w:szCs w:val="20"/>
              </w:rPr>
              <w:drawing>
                <wp:inline distT="0" distB="0" distL="0" distR="0">
                  <wp:extent cx="5943600" cy="4095750"/>
                  <wp:effectExtent l="19050" t="0" r="0" b="0"/>
                  <wp:docPr id="10" name="Picture 10" descr="http://www.voxeu.org/sites/default/files/image/FromAug2011/AizenmanFig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voxeu.org/sites/default/files/image/FromAug2011/AizenmanFig1(1).gif"/>
                          <pic:cNvPicPr>
                            <a:picLocks noChangeAspect="1" noChangeArrowheads="1"/>
                          </pic:cNvPicPr>
                        </pic:nvPicPr>
                        <pic:blipFill>
                          <a:blip r:embed="rId13" cstate="print"/>
                          <a:srcRect/>
                          <a:stretch>
                            <a:fillRect/>
                          </a:stretch>
                        </pic:blipFill>
                        <pic:spPr bwMode="auto">
                          <a:xfrm>
                            <a:off x="0" y="0"/>
                            <a:ext cx="5943600" cy="4095750"/>
                          </a:xfrm>
                          <a:prstGeom prst="rect">
                            <a:avLst/>
                          </a:prstGeom>
                          <a:noFill/>
                          <a:ln w="9525">
                            <a:noFill/>
                            <a:miter lim="800000"/>
                            <a:headEnd/>
                            <a:tailEnd/>
                          </a:ln>
                        </pic:spPr>
                      </pic:pic>
                    </a:graphicData>
                  </a:graphic>
                </wp:inline>
              </w:drawing>
            </w:r>
          </w:p>
          <w:p w:rsidR="00430959" w:rsidRDefault="00430959">
            <w:pPr>
              <w:pStyle w:val="NormalWeb"/>
              <w:jc w:val="both"/>
              <w:rPr>
                <w:rFonts w:ascii="Arial" w:hAnsi="Arial" w:cs="Arial"/>
                <w:sz w:val="20"/>
                <w:szCs w:val="20"/>
              </w:rPr>
            </w:pPr>
            <w:r>
              <w:rPr>
                <w:rFonts w:ascii="Arial" w:hAnsi="Arial" w:cs="Arial"/>
                <w:i/>
                <w:iCs/>
                <w:sz w:val="20"/>
                <w:szCs w:val="20"/>
              </w:rPr>
              <w:lastRenderedPageBreak/>
              <w:t>Notes: The fiscal space is calculated from public debt as of 2006 and 2000-05 average tax/GDP. The South-Western euro Area Peripheral (SWEAP) includes Greece, Ireland, Italy, Portugal, and Spain.</w:t>
            </w:r>
          </w:p>
          <w:p w:rsidR="00DD660F" w:rsidRDefault="00DD660F">
            <w:pPr>
              <w:pStyle w:val="NormalWeb"/>
              <w:jc w:val="both"/>
              <w:rPr>
                <w:rFonts w:ascii="Arial" w:hAnsi="Arial" w:cs="Arial"/>
                <w:sz w:val="20"/>
                <w:szCs w:val="20"/>
              </w:rPr>
            </w:pPr>
          </w:p>
          <w:p w:rsidR="00430959" w:rsidRDefault="00430959">
            <w:pPr>
              <w:pStyle w:val="NormalWeb"/>
              <w:jc w:val="both"/>
              <w:rPr>
                <w:rFonts w:ascii="Arial" w:hAnsi="Arial" w:cs="Arial"/>
                <w:sz w:val="20"/>
                <w:szCs w:val="20"/>
              </w:rPr>
            </w:pPr>
            <w:r>
              <w:rPr>
                <w:rFonts w:ascii="Arial" w:hAnsi="Arial" w:cs="Arial"/>
                <w:sz w:val="20"/>
                <w:szCs w:val="20"/>
              </w:rPr>
              <w:t xml:space="preserve">We use the pre-crisis </w:t>
            </w:r>
            <w:r>
              <w:rPr>
                <w:rFonts w:ascii="Arial" w:hAnsi="Arial" w:cs="Arial"/>
                <w:i/>
                <w:iCs/>
                <w:sz w:val="20"/>
                <w:szCs w:val="20"/>
              </w:rPr>
              <w:t>de facto</w:t>
            </w:r>
            <w:r>
              <w:rPr>
                <w:rFonts w:ascii="Arial" w:hAnsi="Arial" w:cs="Arial"/>
                <w:sz w:val="20"/>
                <w:szCs w:val="20"/>
              </w:rPr>
              <w:t xml:space="preserve"> fiscal space and structural controls to account for the patterns of fiscal stimuli and exchange-rate adjustments during the crisis, applying OLS, SUR and TOBIT regression analysis for more than 100 countries, validating the predictions of Meade’s approach. We find that higher public debt/average tax base is associated with lower fiscal stimulus, and greater trade openness is robustly associated with a lower fiscal stimulus and a higher depreciation rate during the crisis. A one standard-deviation increase of the public debt/average tax base lowers the size of the fiscal stimulus by about 2% of the GDP. A one standard-deviation increase of trade openness increases the nominal depreciation during 2009-10 by about seven percentage points. </w:t>
            </w:r>
          </w:p>
          <w:p w:rsidR="00430959" w:rsidRDefault="00430959">
            <w:pPr>
              <w:pStyle w:val="Heading1"/>
              <w:jc w:val="both"/>
              <w:rPr>
                <w:sz w:val="28"/>
                <w:szCs w:val="28"/>
              </w:rPr>
            </w:pPr>
            <w:r>
              <w:rPr>
                <w:sz w:val="28"/>
                <w:szCs w:val="28"/>
              </w:rPr>
              <w:t>Concluding remarks</w:t>
            </w:r>
          </w:p>
          <w:p w:rsidR="00430959" w:rsidRDefault="00430959">
            <w:pPr>
              <w:pStyle w:val="NormalWeb"/>
              <w:jc w:val="both"/>
              <w:rPr>
                <w:rFonts w:ascii="Arial" w:hAnsi="Arial" w:cs="Arial"/>
                <w:sz w:val="20"/>
                <w:szCs w:val="20"/>
              </w:rPr>
            </w:pPr>
            <w:r>
              <w:rPr>
                <w:rFonts w:ascii="Arial" w:hAnsi="Arial" w:cs="Arial"/>
                <w:sz w:val="20"/>
                <w:szCs w:val="20"/>
              </w:rPr>
              <w:t>We show the importance of pre-crisis fiscal space in accounting for the fiscal stimulus during 2009-10. We also find that higher trade openness had been associated with a smaller fiscal stimulus, and with greater exchange-rate depreciation. Economically, these effects are large. A possible interpretation is that a higher public debt/average tax base reduces the supply elasticity of funds facing the treasury, thereby reducing the viability of a countercyclical fiscal policy.</w:t>
            </w:r>
            <w:hyperlink r:id="rId14" w:anchor="fn1" w:history="1">
              <w:r>
                <w:rPr>
                  <w:rStyle w:val="Hyperlink"/>
                  <w:sz w:val="20"/>
                  <w:szCs w:val="20"/>
                  <w:vertAlign w:val="superscript"/>
                </w:rPr>
                <w:t>2</w:t>
              </w:r>
            </w:hyperlink>
            <w:r>
              <w:rPr>
                <w:rFonts w:ascii="Arial" w:hAnsi="Arial" w:cs="Arial"/>
                <w:sz w:val="20"/>
                <w:szCs w:val="20"/>
              </w:rPr>
              <w:t xml:space="preserve"> As fiscal multipliers tend to be lower in more open countries, these countries opted for a smaller fiscal stimulus, putting greater weight on adjustment via exchange-rate depreciation (‘exporting their way to prosperity’). Overall, these results are consistent with the neo-Keynesian open economy framework, and with the importance of fiscal space in measuring the viability of countercyclical policies.</w:t>
            </w:r>
          </w:p>
          <w:p w:rsidR="00430959" w:rsidRDefault="00430959">
            <w:pPr>
              <w:pStyle w:val="Heading1"/>
              <w:jc w:val="both"/>
              <w:rPr>
                <w:sz w:val="28"/>
                <w:szCs w:val="28"/>
              </w:rPr>
            </w:pPr>
            <w:r>
              <w:rPr>
                <w:sz w:val="28"/>
                <w:szCs w:val="28"/>
              </w:rPr>
              <w:t>References</w:t>
            </w:r>
          </w:p>
          <w:p w:rsidR="00430959" w:rsidRDefault="00430959">
            <w:pPr>
              <w:pStyle w:val="NormalWeb"/>
              <w:jc w:val="both"/>
              <w:rPr>
                <w:rFonts w:ascii="Arial" w:hAnsi="Arial" w:cs="Arial"/>
                <w:sz w:val="20"/>
                <w:szCs w:val="20"/>
              </w:rPr>
            </w:pPr>
            <w:r>
              <w:rPr>
                <w:rFonts w:ascii="Arial" w:hAnsi="Arial" w:cs="Arial"/>
                <w:sz w:val="20"/>
                <w:szCs w:val="20"/>
              </w:rPr>
              <w:t>Aizenman, J and Y Jinjarak (2011), “</w:t>
            </w:r>
            <w:hyperlink r:id="rId15" w:history="1">
              <w:r>
                <w:rPr>
                  <w:rStyle w:val="Hyperlink"/>
                  <w:sz w:val="20"/>
                  <w:szCs w:val="20"/>
                </w:rPr>
                <w:t>The Fiscal Stimulus of 2009-10: Trade Openness, Fiscal Space and Exchange Rate Adjustment</w:t>
              </w:r>
            </w:hyperlink>
            <w:r>
              <w:rPr>
                <w:rFonts w:ascii="Arial" w:hAnsi="Arial" w:cs="Arial"/>
                <w:sz w:val="20"/>
                <w:szCs w:val="20"/>
              </w:rPr>
              <w:t xml:space="preserve">”, NBER Working Paper No. 17427, forthcoming, </w:t>
            </w:r>
            <w:r>
              <w:rPr>
                <w:rFonts w:ascii="Arial" w:hAnsi="Arial" w:cs="Arial"/>
                <w:i/>
                <w:iCs/>
                <w:sz w:val="20"/>
                <w:szCs w:val="20"/>
              </w:rPr>
              <w:t>NBER International Seminar on Macroeconomics</w:t>
            </w:r>
            <w:r>
              <w:rPr>
                <w:rFonts w:ascii="Arial" w:hAnsi="Arial" w:cs="Arial"/>
                <w:sz w:val="20"/>
                <w:szCs w:val="20"/>
              </w:rPr>
              <w:t xml:space="preserve"> 2011.</w:t>
            </w:r>
          </w:p>
          <w:p w:rsidR="00430959" w:rsidRDefault="00430959">
            <w:pPr>
              <w:pStyle w:val="NormalWeb"/>
              <w:jc w:val="both"/>
              <w:rPr>
                <w:rFonts w:ascii="Arial" w:hAnsi="Arial" w:cs="Arial"/>
                <w:sz w:val="20"/>
                <w:szCs w:val="20"/>
              </w:rPr>
            </w:pPr>
            <w:r>
              <w:rPr>
                <w:rFonts w:ascii="Arial" w:hAnsi="Arial" w:cs="Arial"/>
                <w:sz w:val="20"/>
                <w:szCs w:val="20"/>
              </w:rPr>
              <w:t>Aizenman, J, MJ Hutchison, and Y Jinjarak (2011), “</w:t>
            </w:r>
            <w:hyperlink r:id="rId16" w:history="1">
              <w:r>
                <w:rPr>
                  <w:rStyle w:val="Hyperlink"/>
                  <w:sz w:val="20"/>
                  <w:szCs w:val="20"/>
                </w:rPr>
                <w:t>What is the Risk of European Sovereign Debt Defaults? Fiscal Space, CDS Spreads and Market Pricing of Risk</w:t>
              </w:r>
            </w:hyperlink>
            <w:r>
              <w:rPr>
                <w:rFonts w:ascii="Arial" w:hAnsi="Arial" w:cs="Arial"/>
                <w:sz w:val="20"/>
                <w:szCs w:val="20"/>
              </w:rPr>
              <w:t>”, NBER Working Paper No. 17407.</w:t>
            </w:r>
          </w:p>
          <w:p w:rsidR="00430959" w:rsidRDefault="00430959">
            <w:pPr>
              <w:pStyle w:val="NormalWeb"/>
              <w:jc w:val="both"/>
              <w:rPr>
                <w:rFonts w:ascii="Arial" w:hAnsi="Arial" w:cs="Arial"/>
                <w:sz w:val="20"/>
                <w:szCs w:val="20"/>
              </w:rPr>
            </w:pPr>
            <w:r>
              <w:rPr>
                <w:rFonts w:ascii="Arial" w:hAnsi="Arial" w:cs="Arial"/>
                <w:sz w:val="20"/>
                <w:szCs w:val="20"/>
              </w:rPr>
              <w:t xml:space="preserve">Alm, J and B Torgler (2006), “Culture differences and tax morale in the US and in Europe”, </w:t>
            </w:r>
            <w:r>
              <w:rPr>
                <w:rFonts w:ascii="Arial" w:hAnsi="Arial" w:cs="Arial"/>
                <w:i/>
                <w:iCs/>
                <w:sz w:val="20"/>
                <w:szCs w:val="20"/>
              </w:rPr>
              <w:t>Journal of Economic Psychology</w:t>
            </w:r>
            <w:r>
              <w:rPr>
                <w:rFonts w:ascii="Arial" w:hAnsi="Arial" w:cs="Arial"/>
                <w:sz w:val="20"/>
                <w:szCs w:val="20"/>
              </w:rPr>
              <w:t>, 27:224-246.</w:t>
            </w:r>
          </w:p>
          <w:p w:rsidR="00430959" w:rsidRDefault="00430959">
            <w:pPr>
              <w:pStyle w:val="NormalWeb"/>
              <w:jc w:val="both"/>
              <w:rPr>
                <w:rFonts w:ascii="Arial" w:hAnsi="Arial" w:cs="Arial"/>
                <w:sz w:val="20"/>
                <w:szCs w:val="20"/>
              </w:rPr>
            </w:pPr>
            <w:r>
              <w:rPr>
                <w:rFonts w:ascii="Arial" w:hAnsi="Arial" w:cs="Arial"/>
                <w:sz w:val="20"/>
                <w:szCs w:val="20"/>
              </w:rPr>
              <w:t>Dolls, M, C Fuest, and A Peichl (2010), “Automatic Stabilizers and Economic Crisis: US vs. Europe”, NBER Working Paper No. 16275.</w:t>
            </w:r>
          </w:p>
          <w:p w:rsidR="00430959" w:rsidRDefault="00430959">
            <w:pPr>
              <w:pStyle w:val="NormalWeb"/>
              <w:jc w:val="both"/>
              <w:rPr>
                <w:rFonts w:ascii="Arial" w:hAnsi="Arial" w:cs="Arial"/>
                <w:sz w:val="20"/>
                <w:szCs w:val="20"/>
              </w:rPr>
            </w:pPr>
            <w:r>
              <w:rPr>
                <w:rFonts w:ascii="Arial" w:hAnsi="Arial" w:cs="Arial"/>
                <w:sz w:val="20"/>
                <w:szCs w:val="20"/>
              </w:rPr>
              <w:t xml:space="preserve">Frey SB and B Torgler (2007), “Tax morale and conditional cooperation”, </w:t>
            </w:r>
            <w:r>
              <w:rPr>
                <w:rFonts w:ascii="Arial" w:hAnsi="Arial" w:cs="Arial"/>
                <w:i/>
                <w:iCs/>
                <w:sz w:val="20"/>
                <w:szCs w:val="20"/>
              </w:rPr>
              <w:t>Journal of Comparative Economics</w:t>
            </w:r>
            <w:r>
              <w:rPr>
                <w:rFonts w:ascii="Arial" w:hAnsi="Arial" w:cs="Arial"/>
                <w:sz w:val="20"/>
                <w:szCs w:val="20"/>
              </w:rPr>
              <w:t>, 35:136-159.</w:t>
            </w:r>
          </w:p>
          <w:p w:rsidR="00430959" w:rsidRDefault="006B4D8A">
            <w:pPr>
              <w:pStyle w:val="NormalWeb"/>
              <w:jc w:val="both"/>
              <w:rPr>
                <w:rFonts w:ascii="Arial" w:hAnsi="Arial" w:cs="Arial"/>
                <w:sz w:val="20"/>
                <w:szCs w:val="20"/>
              </w:rPr>
            </w:pPr>
            <w:hyperlink r:id="rId17" w:history="1">
              <w:r w:rsidR="00430959">
                <w:rPr>
                  <w:rStyle w:val="Hyperlink"/>
                  <w:sz w:val="20"/>
                  <w:szCs w:val="20"/>
                </w:rPr>
                <w:t xml:space="preserve">Keynes, JM (1932), </w:t>
              </w:r>
              <w:r w:rsidR="00430959">
                <w:rPr>
                  <w:rStyle w:val="Hyperlink"/>
                  <w:i/>
                  <w:iCs/>
                  <w:sz w:val="20"/>
                  <w:szCs w:val="20"/>
                </w:rPr>
                <w:t>The World’s Economic Outlook</w:t>
              </w:r>
              <w:r w:rsidR="00430959">
                <w:rPr>
                  <w:rStyle w:val="Hyperlink"/>
                  <w:sz w:val="20"/>
                  <w:szCs w:val="20"/>
                </w:rPr>
                <w:t>, Atlantic Monthly, May.</w:t>
              </w:r>
            </w:hyperlink>
          </w:p>
          <w:p w:rsidR="00430959" w:rsidRDefault="00430959">
            <w:pPr>
              <w:pStyle w:val="NormalWeb"/>
              <w:jc w:val="both"/>
              <w:rPr>
                <w:rFonts w:ascii="Arial" w:hAnsi="Arial" w:cs="Arial"/>
                <w:sz w:val="20"/>
                <w:szCs w:val="20"/>
              </w:rPr>
            </w:pPr>
            <w:r>
              <w:rPr>
                <w:rFonts w:ascii="Arial" w:hAnsi="Arial" w:cs="Arial"/>
                <w:sz w:val="20"/>
                <w:szCs w:val="20"/>
              </w:rPr>
              <w:t xml:space="preserve">Meade, JE (1951), </w:t>
            </w:r>
            <w:r>
              <w:rPr>
                <w:rFonts w:ascii="Arial" w:hAnsi="Arial" w:cs="Arial"/>
                <w:i/>
                <w:iCs/>
                <w:sz w:val="20"/>
                <w:szCs w:val="20"/>
              </w:rPr>
              <w:t>The Balance of Payments: The Theory of International Economic Policy</w:t>
            </w:r>
            <w:r>
              <w:rPr>
                <w:rFonts w:ascii="Arial" w:hAnsi="Arial" w:cs="Arial"/>
                <w:sz w:val="20"/>
                <w:szCs w:val="20"/>
              </w:rPr>
              <w:t>, Vol. 1, Oxford University Press.</w:t>
            </w:r>
          </w:p>
          <w:p w:rsidR="00430959" w:rsidRDefault="006B4D8A">
            <w:pPr>
              <w:jc w:val="both"/>
              <w:rPr>
                <w:rFonts w:ascii="Arial" w:hAnsi="Arial" w:cs="Arial"/>
                <w:sz w:val="20"/>
                <w:szCs w:val="20"/>
              </w:rPr>
            </w:pPr>
            <w:r w:rsidRPr="006B4D8A">
              <w:rPr>
                <w:rFonts w:ascii="Arial" w:hAnsi="Arial" w:cs="Arial"/>
                <w:sz w:val="20"/>
                <w:szCs w:val="20"/>
              </w:rPr>
              <w:pict>
                <v:rect id="_x0000_i1025" style="width:0;height:.75pt" o:hralign="center" o:hrstd="t" o:hr="t" fillcolor="#a0a0a0" stroked="f"/>
              </w:pict>
            </w:r>
          </w:p>
          <w:p w:rsidR="00430959" w:rsidRDefault="00430959" w:rsidP="00430959">
            <w:pPr>
              <w:pStyle w:val="NormalWeb"/>
              <w:jc w:val="both"/>
              <w:rPr>
                <w:rFonts w:ascii="Arial" w:hAnsi="Arial" w:cs="Arial"/>
                <w:sz w:val="20"/>
                <w:szCs w:val="20"/>
              </w:rPr>
            </w:pPr>
            <w:bookmarkStart w:id="0" w:name="fn1"/>
            <w:r>
              <w:rPr>
                <w:rFonts w:ascii="Arial" w:hAnsi="Arial" w:cs="Arial"/>
                <w:color w:val="2763A5"/>
                <w:sz w:val="20"/>
                <w:szCs w:val="20"/>
                <w:vertAlign w:val="superscript"/>
              </w:rPr>
              <w:t>1</w:t>
            </w:r>
            <w:bookmarkEnd w:id="0"/>
            <w:r>
              <w:rPr>
                <w:rFonts w:ascii="Arial" w:hAnsi="Arial" w:cs="Arial"/>
                <w:sz w:val="20"/>
                <w:szCs w:val="20"/>
              </w:rPr>
              <w:t xml:space="preserve"> Our presumption is that the tax base depends on structural factors that are harder to modify in the short run than adjusting government expenditure. This view is consistent with recent empirical literature finding that tax compliance. Individual’s willingness to pay taxes is affected by perceptions about the fairness of the tax structure, by his perception of the behaviour of other taxpayers, and the degree to which his preferences are adequately represented (see Alm and Torgler 2006 and Frey and Torgler 2007).</w:t>
            </w:r>
          </w:p>
          <w:p w:rsidR="00430959" w:rsidRDefault="00430959" w:rsidP="00430959">
            <w:pPr>
              <w:pStyle w:val="NormalWeb"/>
              <w:jc w:val="both"/>
              <w:rPr>
                <w:rFonts w:ascii="Arial" w:hAnsi="Arial" w:cs="Arial"/>
                <w:sz w:val="20"/>
                <w:szCs w:val="20"/>
              </w:rPr>
            </w:pPr>
            <w:r>
              <w:rPr>
                <w:rFonts w:ascii="Arial" w:hAnsi="Arial" w:cs="Arial"/>
                <w:sz w:val="20"/>
                <w:szCs w:val="20"/>
                <w:vertAlign w:val="superscript"/>
              </w:rPr>
              <w:t>2</w:t>
            </w:r>
            <w:r>
              <w:rPr>
                <w:rFonts w:ascii="Arial" w:hAnsi="Arial" w:cs="Arial"/>
                <w:sz w:val="20"/>
                <w:szCs w:val="20"/>
              </w:rPr>
              <w:t xml:space="preserve"> In a companion paper, we also study the usefulness of the de facto fiscal space by showing that they account better for sovereign spreads of countries than the more conventional public debt/GDP (Aizenman et al. 2011).</w:t>
            </w:r>
          </w:p>
        </w:tc>
      </w:tr>
    </w:tbl>
    <w:p w:rsidR="00082D62" w:rsidRDefault="00082D62" w:rsidP="00082D62">
      <w:pPr>
        <w:shd w:val="clear" w:color="auto" w:fill="FFFFFF"/>
        <w:spacing w:line="360" w:lineRule="atLeast"/>
        <w:rPr>
          <w:rFonts w:ascii="Verdana" w:hAnsi="Verdana" w:cs="Arial"/>
          <w:vanish/>
          <w:color w:val="111111"/>
          <w:sz w:val="18"/>
          <w:szCs w:val="18"/>
        </w:rPr>
      </w:pPr>
    </w:p>
    <w:sectPr w:rsidR="00082D62" w:rsidSect="00210295">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566F"/>
    <w:multiLevelType w:val="multilevel"/>
    <w:tmpl w:val="4D0C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41A0F"/>
    <w:multiLevelType w:val="multilevel"/>
    <w:tmpl w:val="DB363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F55514"/>
    <w:multiLevelType w:val="multilevel"/>
    <w:tmpl w:val="740E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755842"/>
    <w:multiLevelType w:val="multilevel"/>
    <w:tmpl w:val="5B0E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A02D59"/>
    <w:multiLevelType w:val="multilevel"/>
    <w:tmpl w:val="EEBA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C65F2C"/>
    <w:multiLevelType w:val="multilevel"/>
    <w:tmpl w:val="A824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DC1A1D"/>
    <w:multiLevelType w:val="multilevel"/>
    <w:tmpl w:val="E5FED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D61826"/>
    <w:multiLevelType w:val="multilevel"/>
    <w:tmpl w:val="4130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A64AFE"/>
    <w:multiLevelType w:val="multilevel"/>
    <w:tmpl w:val="5AB40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B929BB"/>
    <w:multiLevelType w:val="multilevel"/>
    <w:tmpl w:val="58AA0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6E1A8E"/>
    <w:multiLevelType w:val="multilevel"/>
    <w:tmpl w:val="C8F88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5819EB"/>
    <w:multiLevelType w:val="multilevel"/>
    <w:tmpl w:val="E99C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872EA7"/>
    <w:multiLevelType w:val="multilevel"/>
    <w:tmpl w:val="ED14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755212"/>
    <w:multiLevelType w:val="multilevel"/>
    <w:tmpl w:val="7DD85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A157DE"/>
    <w:multiLevelType w:val="multilevel"/>
    <w:tmpl w:val="3D0ED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89091F"/>
    <w:multiLevelType w:val="multilevel"/>
    <w:tmpl w:val="1CE61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9A0A72"/>
    <w:multiLevelType w:val="multilevel"/>
    <w:tmpl w:val="BDF2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840C41"/>
    <w:multiLevelType w:val="multilevel"/>
    <w:tmpl w:val="ADF4E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2E5503"/>
    <w:multiLevelType w:val="multilevel"/>
    <w:tmpl w:val="17A47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D25F5F"/>
    <w:multiLevelType w:val="multilevel"/>
    <w:tmpl w:val="21D2D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4942B4"/>
    <w:multiLevelType w:val="multilevel"/>
    <w:tmpl w:val="8A988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7841C3"/>
    <w:multiLevelType w:val="multilevel"/>
    <w:tmpl w:val="17B00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392D41"/>
    <w:multiLevelType w:val="multilevel"/>
    <w:tmpl w:val="C7ACA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3D1152"/>
    <w:multiLevelType w:val="multilevel"/>
    <w:tmpl w:val="4D90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C47794"/>
    <w:multiLevelType w:val="multilevel"/>
    <w:tmpl w:val="71368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AA6165"/>
    <w:multiLevelType w:val="multilevel"/>
    <w:tmpl w:val="31922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FF7525"/>
    <w:multiLevelType w:val="multilevel"/>
    <w:tmpl w:val="B90EE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367131"/>
    <w:multiLevelType w:val="multilevel"/>
    <w:tmpl w:val="44E45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0A0726"/>
    <w:multiLevelType w:val="multilevel"/>
    <w:tmpl w:val="C74E8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1"/>
  </w:num>
  <w:num w:numId="3">
    <w:abstractNumId w:val="0"/>
  </w:num>
  <w:num w:numId="4">
    <w:abstractNumId w:val="20"/>
  </w:num>
  <w:num w:numId="5">
    <w:abstractNumId w:val="3"/>
  </w:num>
  <w:num w:numId="6">
    <w:abstractNumId w:val="24"/>
  </w:num>
  <w:num w:numId="7">
    <w:abstractNumId w:val="23"/>
  </w:num>
  <w:num w:numId="8">
    <w:abstractNumId w:val="18"/>
  </w:num>
  <w:num w:numId="9">
    <w:abstractNumId w:val="8"/>
  </w:num>
  <w:num w:numId="10">
    <w:abstractNumId w:val="9"/>
  </w:num>
  <w:num w:numId="11">
    <w:abstractNumId w:val="6"/>
  </w:num>
  <w:num w:numId="12">
    <w:abstractNumId w:val="25"/>
  </w:num>
  <w:num w:numId="13">
    <w:abstractNumId w:val="28"/>
  </w:num>
  <w:num w:numId="14">
    <w:abstractNumId w:val="19"/>
  </w:num>
  <w:num w:numId="15">
    <w:abstractNumId w:val="2"/>
  </w:num>
  <w:num w:numId="16">
    <w:abstractNumId w:val="14"/>
  </w:num>
  <w:num w:numId="17">
    <w:abstractNumId w:val="26"/>
  </w:num>
  <w:num w:numId="18">
    <w:abstractNumId w:val="27"/>
  </w:num>
  <w:num w:numId="19">
    <w:abstractNumId w:val="7"/>
  </w:num>
  <w:num w:numId="20">
    <w:abstractNumId w:val="15"/>
  </w:num>
  <w:num w:numId="21">
    <w:abstractNumId w:val="13"/>
  </w:num>
  <w:num w:numId="22">
    <w:abstractNumId w:val="21"/>
  </w:num>
  <w:num w:numId="23">
    <w:abstractNumId w:val="5"/>
  </w:num>
  <w:num w:numId="24">
    <w:abstractNumId w:val="17"/>
  </w:num>
  <w:num w:numId="25">
    <w:abstractNumId w:val="10"/>
  </w:num>
  <w:num w:numId="26">
    <w:abstractNumId w:val="12"/>
  </w:num>
  <w:num w:numId="27">
    <w:abstractNumId w:val="22"/>
  </w:num>
  <w:num w:numId="28">
    <w:abstractNumId w:val="1"/>
  </w:num>
  <w:num w:numId="29">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C6F53"/>
    <w:rsid w:val="00013E4E"/>
    <w:rsid w:val="00034765"/>
    <w:rsid w:val="000353A9"/>
    <w:rsid w:val="00047D20"/>
    <w:rsid w:val="00075EFE"/>
    <w:rsid w:val="00082D62"/>
    <w:rsid w:val="0009467B"/>
    <w:rsid w:val="000D6D9D"/>
    <w:rsid w:val="000F55A1"/>
    <w:rsid w:val="000F6AFF"/>
    <w:rsid w:val="00106449"/>
    <w:rsid w:val="00111E6A"/>
    <w:rsid w:val="001205BF"/>
    <w:rsid w:val="001360B3"/>
    <w:rsid w:val="001613A9"/>
    <w:rsid w:val="00187360"/>
    <w:rsid w:val="0019248E"/>
    <w:rsid w:val="001A1B49"/>
    <w:rsid w:val="001B0B46"/>
    <w:rsid w:val="001C0C72"/>
    <w:rsid w:val="001E6AC0"/>
    <w:rsid w:val="001F38E4"/>
    <w:rsid w:val="00210295"/>
    <w:rsid w:val="0021449D"/>
    <w:rsid w:val="00222A30"/>
    <w:rsid w:val="0022376C"/>
    <w:rsid w:val="002248DA"/>
    <w:rsid w:val="00232EB2"/>
    <w:rsid w:val="00254849"/>
    <w:rsid w:val="00254DE5"/>
    <w:rsid w:val="002700FC"/>
    <w:rsid w:val="002960F4"/>
    <w:rsid w:val="0029745B"/>
    <w:rsid w:val="002A460C"/>
    <w:rsid w:val="00301B94"/>
    <w:rsid w:val="00304E21"/>
    <w:rsid w:val="0031032D"/>
    <w:rsid w:val="00322927"/>
    <w:rsid w:val="00346F7F"/>
    <w:rsid w:val="0035549C"/>
    <w:rsid w:val="0037042B"/>
    <w:rsid w:val="003808B2"/>
    <w:rsid w:val="00383DFC"/>
    <w:rsid w:val="00391D25"/>
    <w:rsid w:val="003947D5"/>
    <w:rsid w:val="003B2E42"/>
    <w:rsid w:val="003B4822"/>
    <w:rsid w:val="003D4167"/>
    <w:rsid w:val="00423F35"/>
    <w:rsid w:val="00430959"/>
    <w:rsid w:val="00434BB9"/>
    <w:rsid w:val="00440265"/>
    <w:rsid w:val="004720EA"/>
    <w:rsid w:val="00487559"/>
    <w:rsid w:val="0049031A"/>
    <w:rsid w:val="004A2F94"/>
    <w:rsid w:val="004D72CA"/>
    <w:rsid w:val="005028C1"/>
    <w:rsid w:val="005133C0"/>
    <w:rsid w:val="00522BBC"/>
    <w:rsid w:val="00540A81"/>
    <w:rsid w:val="00545B85"/>
    <w:rsid w:val="0055085D"/>
    <w:rsid w:val="005831BD"/>
    <w:rsid w:val="005B7681"/>
    <w:rsid w:val="005C17FB"/>
    <w:rsid w:val="00613884"/>
    <w:rsid w:val="00623479"/>
    <w:rsid w:val="006579BA"/>
    <w:rsid w:val="006719B1"/>
    <w:rsid w:val="006917E9"/>
    <w:rsid w:val="006B094E"/>
    <w:rsid w:val="006B4D8A"/>
    <w:rsid w:val="006B73C5"/>
    <w:rsid w:val="006C5487"/>
    <w:rsid w:val="006D5726"/>
    <w:rsid w:val="006E4201"/>
    <w:rsid w:val="006F179F"/>
    <w:rsid w:val="00711FBC"/>
    <w:rsid w:val="0073019F"/>
    <w:rsid w:val="00740FE9"/>
    <w:rsid w:val="00746F14"/>
    <w:rsid w:val="007522C0"/>
    <w:rsid w:val="007563C7"/>
    <w:rsid w:val="00764E41"/>
    <w:rsid w:val="00774716"/>
    <w:rsid w:val="00774D9D"/>
    <w:rsid w:val="007A5179"/>
    <w:rsid w:val="007B20A2"/>
    <w:rsid w:val="007B2AA6"/>
    <w:rsid w:val="007B516C"/>
    <w:rsid w:val="007C0ACD"/>
    <w:rsid w:val="007C3099"/>
    <w:rsid w:val="007D3F0F"/>
    <w:rsid w:val="007E4777"/>
    <w:rsid w:val="00821BFE"/>
    <w:rsid w:val="00826A0D"/>
    <w:rsid w:val="00827728"/>
    <w:rsid w:val="00875AC6"/>
    <w:rsid w:val="00876AF6"/>
    <w:rsid w:val="008A45FB"/>
    <w:rsid w:val="008D10E2"/>
    <w:rsid w:val="008E4097"/>
    <w:rsid w:val="008F426C"/>
    <w:rsid w:val="00913538"/>
    <w:rsid w:val="0092329E"/>
    <w:rsid w:val="00940242"/>
    <w:rsid w:val="00954970"/>
    <w:rsid w:val="00963CF4"/>
    <w:rsid w:val="009B29FB"/>
    <w:rsid w:val="009B42C7"/>
    <w:rsid w:val="009B54C8"/>
    <w:rsid w:val="009C1AFE"/>
    <w:rsid w:val="009D168F"/>
    <w:rsid w:val="009D75C4"/>
    <w:rsid w:val="009E1689"/>
    <w:rsid w:val="009E1DDB"/>
    <w:rsid w:val="009E2752"/>
    <w:rsid w:val="009F4111"/>
    <w:rsid w:val="009F68A5"/>
    <w:rsid w:val="00A0419B"/>
    <w:rsid w:val="00A24B24"/>
    <w:rsid w:val="00A365FE"/>
    <w:rsid w:val="00A75105"/>
    <w:rsid w:val="00A94D4A"/>
    <w:rsid w:val="00AA64D1"/>
    <w:rsid w:val="00AB6D62"/>
    <w:rsid w:val="00AE0251"/>
    <w:rsid w:val="00AE0B02"/>
    <w:rsid w:val="00AF4B29"/>
    <w:rsid w:val="00B125D0"/>
    <w:rsid w:val="00B55BB1"/>
    <w:rsid w:val="00B95258"/>
    <w:rsid w:val="00B97C9C"/>
    <w:rsid w:val="00BA11B2"/>
    <w:rsid w:val="00BA7B70"/>
    <w:rsid w:val="00BC3324"/>
    <w:rsid w:val="00BC58F0"/>
    <w:rsid w:val="00BC6F53"/>
    <w:rsid w:val="00BD7786"/>
    <w:rsid w:val="00BD7943"/>
    <w:rsid w:val="00C107AD"/>
    <w:rsid w:val="00CB5AFE"/>
    <w:rsid w:val="00CB6040"/>
    <w:rsid w:val="00CF4984"/>
    <w:rsid w:val="00D27E12"/>
    <w:rsid w:val="00D56586"/>
    <w:rsid w:val="00D70EEB"/>
    <w:rsid w:val="00D724AC"/>
    <w:rsid w:val="00DA3EDF"/>
    <w:rsid w:val="00DB0820"/>
    <w:rsid w:val="00DD660F"/>
    <w:rsid w:val="00DD6D27"/>
    <w:rsid w:val="00E0354B"/>
    <w:rsid w:val="00E140A0"/>
    <w:rsid w:val="00E770DB"/>
    <w:rsid w:val="00E902F8"/>
    <w:rsid w:val="00EC03E4"/>
    <w:rsid w:val="00EC1F13"/>
    <w:rsid w:val="00EE2C83"/>
    <w:rsid w:val="00EE51EE"/>
    <w:rsid w:val="00F30EED"/>
    <w:rsid w:val="00F41FB1"/>
    <w:rsid w:val="00F53D8B"/>
    <w:rsid w:val="00FA4A13"/>
    <w:rsid w:val="00FC6D8A"/>
    <w:rsid w:val="00FE21C5"/>
    <w:rsid w:val="00FF5E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EDF"/>
  </w:style>
  <w:style w:type="paragraph" w:styleId="Heading1">
    <w:name w:val="heading 1"/>
    <w:basedOn w:val="Normal"/>
    <w:link w:val="Heading1Char"/>
    <w:uiPriority w:val="9"/>
    <w:qFormat/>
    <w:rsid w:val="00BC6F53"/>
    <w:pPr>
      <w:spacing w:before="120" w:after="120" w:line="240" w:lineRule="auto"/>
      <w:outlineLvl w:val="0"/>
    </w:pPr>
    <w:rPr>
      <w:rFonts w:ascii="Arial" w:eastAsia="Times New Roman" w:hAnsi="Arial" w:cs="Arial"/>
      <w:b/>
      <w:bCs/>
      <w:color w:val="444444"/>
      <w:kern w:val="36"/>
      <w:sz w:val="34"/>
      <w:szCs w:val="34"/>
      <w:lang w:eastAsia="tr-TR"/>
    </w:rPr>
  </w:style>
  <w:style w:type="paragraph" w:styleId="Heading2">
    <w:name w:val="heading 2"/>
    <w:basedOn w:val="Normal"/>
    <w:next w:val="Normal"/>
    <w:link w:val="Heading2Char"/>
    <w:uiPriority w:val="9"/>
    <w:semiHidden/>
    <w:unhideWhenUsed/>
    <w:qFormat/>
    <w:rsid w:val="00A751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51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F53"/>
    <w:rPr>
      <w:rFonts w:ascii="Arial" w:eastAsia="Times New Roman" w:hAnsi="Arial" w:cs="Arial"/>
      <w:b/>
      <w:bCs/>
      <w:color w:val="444444"/>
      <w:kern w:val="36"/>
      <w:sz w:val="34"/>
      <w:szCs w:val="34"/>
      <w:lang w:eastAsia="tr-TR"/>
    </w:rPr>
  </w:style>
  <w:style w:type="character" w:styleId="Hyperlink">
    <w:name w:val="Hyperlink"/>
    <w:basedOn w:val="DefaultParagraphFont"/>
    <w:uiPriority w:val="99"/>
    <w:unhideWhenUsed/>
    <w:rsid w:val="00BC6F53"/>
    <w:rPr>
      <w:strike w:val="0"/>
      <w:dstrike w:val="0"/>
      <w:color w:val="2763A5"/>
      <w:u w:val="none"/>
      <w:effect w:val="none"/>
    </w:rPr>
  </w:style>
  <w:style w:type="character" w:styleId="Emphasis">
    <w:name w:val="Emphasis"/>
    <w:basedOn w:val="DefaultParagraphFont"/>
    <w:uiPriority w:val="20"/>
    <w:qFormat/>
    <w:rsid w:val="00BC6F53"/>
    <w:rPr>
      <w:i/>
      <w:iCs/>
    </w:rPr>
  </w:style>
  <w:style w:type="character" w:styleId="Strong">
    <w:name w:val="Strong"/>
    <w:basedOn w:val="DefaultParagraphFont"/>
    <w:uiPriority w:val="22"/>
    <w:qFormat/>
    <w:rsid w:val="00BC6F53"/>
    <w:rPr>
      <w:b/>
      <w:bCs/>
    </w:rPr>
  </w:style>
  <w:style w:type="paragraph" w:styleId="NormalWeb">
    <w:name w:val="Normal (Web)"/>
    <w:basedOn w:val="Normal"/>
    <w:uiPriority w:val="99"/>
    <w:unhideWhenUsed/>
    <w:rsid w:val="00BC6F53"/>
    <w:pPr>
      <w:spacing w:after="0"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BC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F53"/>
    <w:rPr>
      <w:rFonts w:ascii="Tahoma" w:hAnsi="Tahoma" w:cs="Tahoma"/>
      <w:sz w:val="16"/>
      <w:szCs w:val="16"/>
    </w:rPr>
  </w:style>
  <w:style w:type="character" w:customStyle="1" w:styleId="authoroverlaylink1">
    <w:name w:val="author_overlay_link1"/>
    <w:basedOn w:val="DefaultParagraphFont"/>
    <w:rsid w:val="006579BA"/>
    <w:rPr>
      <w:color w:val="CC0000"/>
    </w:rPr>
  </w:style>
  <w:style w:type="character" w:customStyle="1" w:styleId="Heading2Char">
    <w:name w:val="Heading 2 Char"/>
    <w:basedOn w:val="DefaultParagraphFont"/>
    <w:link w:val="Heading2"/>
    <w:uiPriority w:val="9"/>
    <w:semiHidden/>
    <w:rsid w:val="00A751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75105"/>
    <w:rPr>
      <w:rFonts w:asciiTheme="majorHAnsi" w:eastAsiaTheme="majorEastAsia" w:hAnsiTheme="majorHAnsi" w:cstheme="majorBidi"/>
      <w:b/>
      <w:bCs/>
      <w:color w:val="4F81BD" w:themeColor="accent1"/>
    </w:rPr>
  </w:style>
  <w:style w:type="character" w:customStyle="1" w:styleId="fn">
    <w:name w:val="fn"/>
    <w:basedOn w:val="DefaultParagraphFont"/>
    <w:rsid w:val="00A75105"/>
  </w:style>
  <w:style w:type="character" w:customStyle="1" w:styleId="author-title">
    <w:name w:val="author-title"/>
    <w:basedOn w:val="DefaultParagraphFont"/>
    <w:rsid w:val="00A75105"/>
  </w:style>
  <w:style w:type="character" w:customStyle="1" w:styleId="author-attribution">
    <w:name w:val="author-attribution"/>
    <w:basedOn w:val="DefaultParagraphFont"/>
    <w:rsid w:val="00A75105"/>
  </w:style>
  <w:style w:type="paragraph" w:styleId="z-TopofForm">
    <w:name w:val="HTML Top of Form"/>
    <w:basedOn w:val="Normal"/>
    <w:next w:val="Normal"/>
    <w:link w:val="z-TopofFormChar"/>
    <w:hidden/>
    <w:uiPriority w:val="99"/>
    <w:semiHidden/>
    <w:unhideWhenUsed/>
    <w:rsid w:val="00A7510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TopofFormChar">
    <w:name w:val="z-Top of Form Char"/>
    <w:basedOn w:val="DefaultParagraphFont"/>
    <w:link w:val="z-TopofForm"/>
    <w:uiPriority w:val="99"/>
    <w:semiHidden/>
    <w:rsid w:val="00A75105"/>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unhideWhenUsed/>
    <w:rsid w:val="00A7510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rsid w:val="00A75105"/>
    <w:rPr>
      <w:rFonts w:ascii="Arial" w:eastAsia="Times New Roman" w:hAnsi="Arial" w:cs="Arial"/>
      <w:vanish/>
      <w:sz w:val="16"/>
      <w:szCs w:val="16"/>
      <w:lang w:eastAsia="tr-TR"/>
    </w:rPr>
  </w:style>
  <w:style w:type="character" w:styleId="HTMLCite">
    <w:name w:val="HTML Cite"/>
    <w:basedOn w:val="DefaultParagraphFont"/>
    <w:uiPriority w:val="99"/>
    <w:semiHidden/>
    <w:unhideWhenUsed/>
    <w:rsid w:val="00232EB2"/>
    <w:rPr>
      <w:i/>
      <w:iCs/>
    </w:rPr>
  </w:style>
  <w:style w:type="paragraph" w:customStyle="1" w:styleId="rtecenter">
    <w:name w:val="rtecenter"/>
    <w:basedOn w:val="Normal"/>
    <w:rsid w:val="0037042B"/>
    <w:pPr>
      <w:spacing w:after="0" w:line="240" w:lineRule="auto"/>
      <w:jc w:val="center"/>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3846691">
      <w:bodyDiv w:val="1"/>
      <w:marLeft w:val="0"/>
      <w:marRight w:val="0"/>
      <w:marTop w:val="0"/>
      <w:marBottom w:val="0"/>
      <w:divBdr>
        <w:top w:val="none" w:sz="0" w:space="0" w:color="auto"/>
        <w:left w:val="none" w:sz="0" w:space="0" w:color="auto"/>
        <w:bottom w:val="none" w:sz="0" w:space="0" w:color="auto"/>
        <w:right w:val="none" w:sz="0" w:space="0" w:color="auto"/>
      </w:divBdr>
      <w:divsChild>
        <w:div w:id="1710646479">
          <w:marLeft w:val="0"/>
          <w:marRight w:val="0"/>
          <w:marTop w:val="0"/>
          <w:marBottom w:val="0"/>
          <w:divBdr>
            <w:top w:val="none" w:sz="0" w:space="0" w:color="auto"/>
            <w:left w:val="none" w:sz="0" w:space="0" w:color="auto"/>
            <w:bottom w:val="none" w:sz="0" w:space="0" w:color="auto"/>
            <w:right w:val="none" w:sz="0" w:space="0" w:color="auto"/>
          </w:divBdr>
          <w:divsChild>
            <w:div w:id="1700662776">
              <w:marLeft w:val="150"/>
              <w:marRight w:val="150"/>
              <w:marTop w:val="0"/>
              <w:marBottom w:val="150"/>
              <w:divBdr>
                <w:top w:val="none" w:sz="0" w:space="0" w:color="auto"/>
                <w:left w:val="none" w:sz="0" w:space="0" w:color="auto"/>
                <w:bottom w:val="none" w:sz="0" w:space="0" w:color="auto"/>
                <w:right w:val="none" w:sz="0" w:space="0" w:color="auto"/>
              </w:divBdr>
              <w:divsChild>
                <w:div w:id="204606431">
                  <w:marLeft w:val="0"/>
                  <w:marRight w:val="0"/>
                  <w:marTop w:val="0"/>
                  <w:marBottom w:val="0"/>
                  <w:divBdr>
                    <w:top w:val="none" w:sz="0" w:space="0" w:color="auto"/>
                    <w:left w:val="none" w:sz="0" w:space="0" w:color="auto"/>
                    <w:bottom w:val="none" w:sz="0" w:space="0" w:color="auto"/>
                    <w:right w:val="none" w:sz="0" w:space="0" w:color="auto"/>
                  </w:divBdr>
                  <w:divsChild>
                    <w:div w:id="944970117">
                      <w:marLeft w:val="0"/>
                      <w:marRight w:val="0"/>
                      <w:marTop w:val="0"/>
                      <w:marBottom w:val="0"/>
                      <w:divBdr>
                        <w:top w:val="none" w:sz="0" w:space="0" w:color="auto"/>
                        <w:left w:val="none" w:sz="0" w:space="0" w:color="auto"/>
                        <w:bottom w:val="none" w:sz="0" w:space="0" w:color="auto"/>
                        <w:right w:val="none" w:sz="0" w:space="0" w:color="auto"/>
                      </w:divBdr>
                      <w:divsChild>
                        <w:div w:id="157813615">
                          <w:marLeft w:val="0"/>
                          <w:marRight w:val="0"/>
                          <w:marTop w:val="0"/>
                          <w:marBottom w:val="0"/>
                          <w:divBdr>
                            <w:top w:val="none" w:sz="0" w:space="0" w:color="auto"/>
                            <w:left w:val="none" w:sz="0" w:space="0" w:color="auto"/>
                            <w:bottom w:val="none" w:sz="0" w:space="0" w:color="auto"/>
                            <w:right w:val="none" w:sz="0" w:space="0" w:color="auto"/>
                          </w:divBdr>
                          <w:divsChild>
                            <w:div w:id="1073235693">
                              <w:marLeft w:val="0"/>
                              <w:marRight w:val="0"/>
                              <w:marTop w:val="0"/>
                              <w:marBottom w:val="0"/>
                              <w:divBdr>
                                <w:top w:val="none" w:sz="0" w:space="0" w:color="auto"/>
                                <w:left w:val="none" w:sz="0" w:space="0" w:color="auto"/>
                                <w:bottom w:val="none" w:sz="0" w:space="0" w:color="auto"/>
                                <w:right w:val="none" w:sz="0" w:space="0" w:color="auto"/>
                              </w:divBdr>
                              <w:divsChild>
                                <w:div w:id="1299536237">
                                  <w:marLeft w:val="0"/>
                                  <w:marRight w:val="0"/>
                                  <w:marTop w:val="0"/>
                                  <w:marBottom w:val="0"/>
                                  <w:divBdr>
                                    <w:top w:val="none" w:sz="0" w:space="0" w:color="auto"/>
                                    <w:left w:val="none" w:sz="0" w:space="0" w:color="auto"/>
                                    <w:bottom w:val="none" w:sz="0" w:space="0" w:color="auto"/>
                                    <w:right w:val="none" w:sz="0" w:space="0" w:color="auto"/>
                                  </w:divBdr>
                                </w:div>
                                <w:div w:id="1138573465">
                                  <w:marLeft w:val="0"/>
                                  <w:marRight w:val="0"/>
                                  <w:marTop w:val="0"/>
                                  <w:marBottom w:val="0"/>
                                  <w:divBdr>
                                    <w:top w:val="none" w:sz="0" w:space="0" w:color="auto"/>
                                    <w:left w:val="none" w:sz="0" w:space="0" w:color="auto"/>
                                    <w:bottom w:val="none" w:sz="0" w:space="0" w:color="auto"/>
                                    <w:right w:val="none" w:sz="0" w:space="0" w:color="auto"/>
                                  </w:divBdr>
                                </w:div>
                                <w:div w:id="545993456">
                                  <w:marLeft w:val="0"/>
                                  <w:marRight w:val="0"/>
                                  <w:marTop w:val="0"/>
                                  <w:marBottom w:val="0"/>
                                  <w:divBdr>
                                    <w:top w:val="none" w:sz="0" w:space="0" w:color="auto"/>
                                    <w:left w:val="none" w:sz="0" w:space="0" w:color="auto"/>
                                    <w:bottom w:val="none" w:sz="0" w:space="0" w:color="auto"/>
                                    <w:right w:val="none" w:sz="0" w:space="0" w:color="auto"/>
                                  </w:divBdr>
                                  <w:divsChild>
                                    <w:div w:id="13089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95151">
      <w:bodyDiv w:val="1"/>
      <w:marLeft w:val="0"/>
      <w:marRight w:val="0"/>
      <w:marTop w:val="0"/>
      <w:marBottom w:val="0"/>
      <w:divBdr>
        <w:top w:val="none" w:sz="0" w:space="0" w:color="auto"/>
        <w:left w:val="none" w:sz="0" w:space="0" w:color="auto"/>
        <w:bottom w:val="none" w:sz="0" w:space="0" w:color="auto"/>
        <w:right w:val="none" w:sz="0" w:space="0" w:color="auto"/>
      </w:divBdr>
      <w:divsChild>
        <w:div w:id="345210262">
          <w:marLeft w:val="0"/>
          <w:marRight w:val="0"/>
          <w:marTop w:val="0"/>
          <w:marBottom w:val="0"/>
          <w:divBdr>
            <w:top w:val="none" w:sz="0" w:space="0" w:color="auto"/>
            <w:left w:val="none" w:sz="0" w:space="0" w:color="auto"/>
            <w:bottom w:val="none" w:sz="0" w:space="0" w:color="auto"/>
            <w:right w:val="none" w:sz="0" w:space="0" w:color="auto"/>
          </w:divBdr>
          <w:divsChild>
            <w:div w:id="813067078">
              <w:marLeft w:val="150"/>
              <w:marRight w:val="150"/>
              <w:marTop w:val="0"/>
              <w:marBottom w:val="150"/>
              <w:divBdr>
                <w:top w:val="none" w:sz="0" w:space="0" w:color="auto"/>
                <w:left w:val="none" w:sz="0" w:space="0" w:color="auto"/>
                <w:bottom w:val="none" w:sz="0" w:space="0" w:color="auto"/>
                <w:right w:val="none" w:sz="0" w:space="0" w:color="auto"/>
              </w:divBdr>
              <w:divsChild>
                <w:div w:id="1072266300">
                  <w:marLeft w:val="0"/>
                  <w:marRight w:val="0"/>
                  <w:marTop w:val="0"/>
                  <w:marBottom w:val="0"/>
                  <w:divBdr>
                    <w:top w:val="none" w:sz="0" w:space="0" w:color="auto"/>
                    <w:left w:val="none" w:sz="0" w:space="0" w:color="auto"/>
                    <w:bottom w:val="none" w:sz="0" w:space="0" w:color="auto"/>
                    <w:right w:val="none" w:sz="0" w:space="0" w:color="auto"/>
                  </w:divBdr>
                  <w:divsChild>
                    <w:div w:id="1281955750">
                      <w:marLeft w:val="0"/>
                      <w:marRight w:val="0"/>
                      <w:marTop w:val="0"/>
                      <w:marBottom w:val="0"/>
                      <w:divBdr>
                        <w:top w:val="none" w:sz="0" w:space="0" w:color="auto"/>
                        <w:left w:val="none" w:sz="0" w:space="0" w:color="auto"/>
                        <w:bottom w:val="none" w:sz="0" w:space="0" w:color="auto"/>
                        <w:right w:val="none" w:sz="0" w:space="0" w:color="auto"/>
                      </w:divBdr>
                      <w:divsChild>
                        <w:div w:id="24722148">
                          <w:marLeft w:val="0"/>
                          <w:marRight w:val="0"/>
                          <w:marTop w:val="0"/>
                          <w:marBottom w:val="0"/>
                          <w:divBdr>
                            <w:top w:val="none" w:sz="0" w:space="0" w:color="auto"/>
                            <w:left w:val="none" w:sz="0" w:space="0" w:color="auto"/>
                            <w:bottom w:val="none" w:sz="0" w:space="0" w:color="auto"/>
                            <w:right w:val="none" w:sz="0" w:space="0" w:color="auto"/>
                          </w:divBdr>
                          <w:divsChild>
                            <w:div w:id="1576628045">
                              <w:marLeft w:val="0"/>
                              <w:marRight w:val="0"/>
                              <w:marTop w:val="0"/>
                              <w:marBottom w:val="0"/>
                              <w:divBdr>
                                <w:top w:val="none" w:sz="0" w:space="0" w:color="auto"/>
                                <w:left w:val="none" w:sz="0" w:space="0" w:color="auto"/>
                                <w:bottom w:val="none" w:sz="0" w:space="0" w:color="auto"/>
                                <w:right w:val="none" w:sz="0" w:space="0" w:color="auto"/>
                              </w:divBdr>
                              <w:divsChild>
                                <w:div w:id="805512841">
                                  <w:marLeft w:val="0"/>
                                  <w:marRight w:val="0"/>
                                  <w:marTop w:val="0"/>
                                  <w:marBottom w:val="0"/>
                                  <w:divBdr>
                                    <w:top w:val="none" w:sz="0" w:space="0" w:color="auto"/>
                                    <w:left w:val="none" w:sz="0" w:space="0" w:color="auto"/>
                                    <w:bottom w:val="none" w:sz="0" w:space="0" w:color="auto"/>
                                    <w:right w:val="none" w:sz="0" w:space="0" w:color="auto"/>
                                  </w:divBdr>
                                </w:div>
                                <w:div w:id="196237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79478">
      <w:bodyDiv w:val="1"/>
      <w:marLeft w:val="0"/>
      <w:marRight w:val="0"/>
      <w:marTop w:val="0"/>
      <w:marBottom w:val="0"/>
      <w:divBdr>
        <w:top w:val="none" w:sz="0" w:space="0" w:color="auto"/>
        <w:left w:val="none" w:sz="0" w:space="0" w:color="auto"/>
        <w:bottom w:val="none" w:sz="0" w:space="0" w:color="auto"/>
        <w:right w:val="none" w:sz="0" w:space="0" w:color="auto"/>
      </w:divBdr>
      <w:divsChild>
        <w:div w:id="1913467084">
          <w:marLeft w:val="0"/>
          <w:marRight w:val="0"/>
          <w:marTop w:val="0"/>
          <w:marBottom w:val="0"/>
          <w:divBdr>
            <w:top w:val="none" w:sz="0" w:space="0" w:color="auto"/>
            <w:left w:val="none" w:sz="0" w:space="0" w:color="auto"/>
            <w:bottom w:val="none" w:sz="0" w:space="0" w:color="auto"/>
            <w:right w:val="none" w:sz="0" w:space="0" w:color="auto"/>
          </w:divBdr>
          <w:divsChild>
            <w:div w:id="1086146538">
              <w:marLeft w:val="150"/>
              <w:marRight w:val="150"/>
              <w:marTop w:val="0"/>
              <w:marBottom w:val="150"/>
              <w:divBdr>
                <w:top w:val="none" w:sz="0" w:space="0" w:color="auto"/>
                <w:left w:val="none" w:sz="0" w:space="0" w:color="auto"/>
                <w:bottom w:val="none" w:sz="0" w:space="0" w:color="auto"/>
                <w:right w:val="none" w:sz="0" w:space="0" w:color="auto"/>
              </w:divBdr>
              <w:divsChild>
                <w:div w:id="1105535600">
                  <w:marLeft w:val="0"/>
                  <w:marRight w:val="0"/>
                  <w:marTop w:val="0"/>
                  <w:marBottom w:val="0"/>
                  <w:divBdr>
                    <w:top w:val="none" w:sz="0" w:space="0" w:color="auto"/>
                    <w:left w:val="none" w:sz="0" w:space="0" w:color="auto"/>
                    <w:bottom w:val="none" w:sz="0" w:space="0" w:color="auto"/>
                    <w:right w:val="none" w:sz="0" w:space="0" w:color="auto"/>
                  </w:divBdr>
                  <w:divsChild>
                    <w:div w:id="240800992">
                      <w:marLeft w:val="0"/>
                      <w:marRight w:val="0"/>
                      <w:marTop w:val="0"/>
                      <w:marBottom w:val="0"/>
                      <w:divBdr>
                        <w:top w:val="none" w:sz="0" w:space="0" w:color="auto"/>
                        <w:left w:val="none" w:sz="0" w:space="0" w:color="auto"/>
                        <w:bottom w:val="none" w:sz="0" w:space="0" w:color="auto"/>
                        <w:right w:val="none" w:sz="0" w:space="0" w:color="auto"/>
                      </w:divBdr>
                      <w:divsChild>
                        <w:div w:id="125244698">
                          <w:marLeft w:val="0"/>
                          <w:marRight w:val="0"/>
                          <w:marTop w:val="0"/>
                          <w:marBottom w:val="0"/>
                          <w:divBdr>
                            <w:top w:val="none" w:sz="0" w:space="0" w:color="auto"/>
                            <w:left w:val="none" w:sz="0" w:space="0" w:color="auto"/>
                            <w:bottom w:val="none" w:sz="0" w:space="0" w:color="auto"/>
                            <w:right w:val="none" w:sz="0" w:space="0" w:color="auto"/>
                          </w:divBdr>
                          <w:divsChild>
                            <w:div w:id="1819151514">
                              <w:marLeft w:val="0"/>
                              <w:marRight w:val="0"/>
                              <w:marTop w:val="0"/>
                              <w:marBottom w:val="0"/>
                              <w:divBdr>
                                <w:top w:val="none" w:sz="0" w:space="0" w:color="auto"/>
                                <w:left w:val="none" w:sz="0" w:space="0" w:color="auto"/>
                                <w:bottom w:val="none" w:sz="0" w:space="0" w:color="auto"/>
                                <w:right w:val="none" w:sz="0" w:space="0" w:color="auto"/>
                              </w:divBdr>
                              <w:divsChild>
                                <w:div w:id="56982438">
                                  <w:marLeft w:val="0"/>
                                  <w:marRight w:val="0"/>
                                  <w:marTop w:val="0"/>
                                  <w:marBottom w:val="0"/>
                                  <w:divBdr>
                                    <w:top w:val="none" w:sz="0" w:space="0" w:color="auto"/>
                                    <w:left w:val="none" w:sz="0" w:space="0" w:color="auto"/>
                                    <w:bottom w:val="none" w:sz="0" w:space="0" w:color="auto"/>
                                    <w:right w:val="none" w:sz="0" w:space="0" w:color="auto"/>
                                  </w:divBdr>
                                </w:div>
                                <w:div w:id="11382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61998">
      <w:bodyDiv w:val="1"/>
      <w:marLeft w:val="0"/>
      <w:marRight w:val="0"/>
      <w:marTop w:val="0"/>
      <w:marBottom w:val="0"/>
      <w:divBdr>
        <w:top w:val="none" w:sz="0" w:space="0" w:color="auto"/>
        <w:left w:val="none" w:sz="0" w:space="0" w:color="auto"/>
        <w:bottom w:val="none" w:sz="0" w:space="0" w:color="auto"/>
        <w:right w:val="none" w:sz="0" w:space="0" w:color="auto"/>
      </w:divBdr>
      <w:divsChild>
        <w:div w:id="222722133">
          <w:marLeft w:val="0"/>
          <w:marRight w:val="0"/>
          <w:marTop w:val="0"/>
          <w:marBottom w:val="0"/>
          <w:divBdr>
            <w:top w:val="none" w:sz="0" w:space="0" w:color="auto"/>
            <w:left w:val="none" w:sz="0" w:space="0" w:color="auto"/>
            <w:bottom w:val="none" w:sz="0" w:space="0" w:color="auto"/>
            <w:right w:val="none" w:sz="0" w:space="0" w:color="auto"/>
          </w:divBdr>
          <w:divsChild>
            <w:div w:id="1254243489">
              <w:marLeft w:val="150"/>
              <w:marRight w:val="150"/>
              <w:marTop w:val="0"/>
              <w:marBottom w:val="150"/>
              <w:divBdr>
                <w:top w:val="none" w:sz="0" w:space="0" w:color="auto"/>
                <w:left w:val="none" w:sz="0" w:space="0" w:color="auto"/>
                <w:bottom w:val="none" w:sz="0" w:space="0" w:color="auto"/>
                <w:right w:val="none" w:sz="0" w:space="0" w:color="auto"/>
              </w:divBdr>
              <w:divsChild>
                <w:div w:id="2057468885">
                  <w:marLeft w:val="0"/>
                  <w:marRight w:val="0"/>
                  <w:marTop w:val="0"/>
                  <w:marBottom w:val="0"/>
                  <w:divBdr>
                    <w:top w:val="none" w:sz="0" w:space="0" w:color="auto"/>
                    <w:left w:val="none" w:sz="0" w:space="0" w:color="auto"/>
                    <w:bottom w:val="none" w:sz="0" w:space="0" w:color="auto"/>
                    <w:right w:val="none" w:sz="0" w:space="0" w:color="auto"/>
                  </w:divBdr>
                  <w:divsChild>
                    <w:div w:id="861436556">
                      <w:marLeft w:val="0"/>
                      <w:marRight w:val="0"/>
                      <w:marTop w:val="0"/>
                      <w:marBottom w:val="0"/>
                      <w:divBdr>
                        <w:top w:val="none" w:sz="0" w:space="0" w:color="auto"/>
                        <w:left w:val="none" w:sz="0" w:space="0" w:color="auto"/>
                        <w:bottom w:val="none" w:sz="0" w:space="0" w:color="auto"/>
                        <w:right w:val="none" w:sz="0" w:space="0" w:color="auto"/>
                      </w:divBdr>
                      <w:divsChild>
                        <w:div w:id="60489789">
                          <w:marLeft w:val="0"/>
                          <w:marRight w:val="0"/>
                          <w:marTop w:val="0"/>
                          <w:marBottom w:val="0"/>
                          <w:divBdr>
                            <w:top w:val="none" w:sz="0" w:space="0" w:color="auto"/>
                            <w:left w:val="none" w:sz="0" w:space="0" w:color="auto"/>
                            <w:bottom w:val="none" w:sz="0" w:space="0" w:color="auto"/>
                            <w:right w:val="none" w:sz="0" w:space="0" w:color="auto"/>
                          </w:divBdr>
                          <w:divsChild>
                            <w:div w:id="1440178606">
                              <w:marLeft w:val="0"/>
                              <w:marRight w:val="0"/>
                              <w:marTop w:val="0"/>
                              <w:marBottom w:val="0"/>
                              <w:divBdr>
                                <w:top w:val="none" w:sz="0" w:space="0" w:color="auto"/>
                                <w:left w:val="none" w:sz="0" w:space="0" w:color="auto"/>
                                <w:bottom w:val="none" w:sz="0" w:space="0" w:color="auto"/>
                                <w:right w:val="none" w:sz="0" w:space="0" w:color="auto"/>
                              </w:divBdr>
                              <w:divsChild>
                                <w:div w:id="1671711668">
                                  <w:marLeft w:val="0"/>
                                  <w:marRight w:val="0"/>
                                  <w:marTop w:val="0"/>
                                  <w:marBottom w:val="0"/>
                                  <w:divBdr>
                                    <w:top w:val="none" w:sz="0" w:space="0" w:color="auto"/>
                                    <w:left w:val="none" w:sz="0" w:space="0" w:color="auto"/>
                                    <w:bottom w:val="none" w:sz="0" w:space="0" w:color="auto"/>
                                    <w:right w:val="none" w:sz="0" w:space="0" w:color="auto"/>
                                  </w:divBdr>
                                </w:div>
                                <w:div w:id="1667712087">
                                  <w:marLeft w:val="0"/>
                                  <w:marRight w:val="0"/>
                                  <w:marTop w:val="0"/>
                                  <w:marBottom w:val="0"/>
                                  <w:divBdr>
                                    <w:top w:val="none" w:sz="0" w:space="0" w:color="auto"/>
                                    <w:left w:val="none" w:sz="0" w:space="0" w:color="auto"/>
                                    <w:bottom w:val="none" w:sz="0" w:space="0" w:color="auto"/>
                                    <w:right w:val="none" w:sz="0" w:space="0" w:color="auto"/>
                                  </w:divBdr>
                                </w:div>
                                <w:div w:id="1768845940">
                                  <w:blockQuote w:val="1"/>
                                  <w:marLeft w:val="240"/>
                                  <w:marRight w:val="240"/>
                                  <w:marTop w:val="120"/>
                                  <w:marBottom w:val="120"/>
                                  <w:divBdr>
                                    <w:top w:val="none" w:sz="0" w:space="0" w:color="auto"/>
                                    <w:left w:val="none" w:sz="0" w:space="0" w:color="auto"/>
                                    <w:bottom w:val="none" w:sz="0" w:space="0" w:color="auto"/>
                                    <w:right w:val="none" w:sz="0" w:space="0" w:color="auto"/>
                                  </w:divBdr>
                                </w:div>
                                <w:div w:id="59718999">
                                  <w:marLeft w:val="0"/>
                                  <w:marRight w:val="0"/>
                                  <w:marTop w:val="0"/>
                                  <w:marBottom w:val="0"/>
                                  <w:divBdr>
                                    <w:top w:val="none" w:sz="0" w:space="0" w:color="auto"/>
                                    <w:left w:val="none" w:sz="0" w:space="0" w:color="auto"/>
                                    <w:bottom w:val="none" w:sz="0" w:space="0" w:color="auto"/>
                                    <w:right w:val="none" w:sz="0" w:space="0" w:color="auto"/>
                                  </w:divBdr>
                                </w:div>
                                <w:div w:id="12160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1761">
      <w:bodyDiv w:val="1"/>
      <w:marLeft w:val="0"/>
      <w:marRight w:val="0"/>
      <w:marTop w:val="0"/>
      <w:marBottom w:val="0"/>
      <w:divBdr>
        <w:top w:val="none" w:sz="0" w:space="0" w:color="auto"/>
        <w:left w:val="none" w:sz="0" w:space="0" w:color="auto"/>
        <w:bottom w:val="none" w:sz="0" w:space="0" w:color="auto"/>
        <w:right w:val="none" w:sz="0" w:space="0" w:color="auto"/>
      </w:divBdr>
      <w:divsChild>
        <w:div w:id="402145745">
          <w:marLeft w:val="0"/>
          <w:marRight w:val="0"/>
          <w:marTop w:val="0"/>
          <w:marBottom w:val="0"/>
          <w:divBdr>
            <w:top w:val="none" w:sz="0" w:space="0" w:color="auto"/>
            <w:left w:val="none" w:sz="0" w:space="0" w:color="auto"/>
            <w:bottom w:val="none" w:sz="0" w:space="0" w:color="auto"/>
            <w:right w:val="none" w:sz="0" w:space="0" w:color="auto"/>
          </w:divBdr>
          <w:divsChild>
            <w:div w:id="1354917032">
              <w:marLeft w:val="150"/>
              <w:marRight w:val="150"/>
              <w:marTop w:val="0"/>
              <w:marBottom w:val="150"/>
              <w:divBdr>
                <w:top w:val="none" w:sz="0" w:space="0" w:color="auto"/>
                <w:left w:val="none" w:sz="0" w:space="0" w:color="auto"/>
                <w:bottom w:val="none" w:sz="0" w:space="0" w:color="auto"/>
                <w:right w:val="none" w:sz="0" w:space="0" w:color="auto"/>
              </w:divBdr>
              <w:divsChild>
                <w:div w:id="791898558">
                  <w:marLeft w:val="0"/>
                  <w:marRight w:val="0"/>
                  <w:marTop w:val="0"/>
                  <w:marBottom w:val="0"/>
                  <w:divBdr>
                    <w:top w:val="none" w:sz="0" w:space="0" w:color="auto"/>
                    <w:left w:val="none" w:sz="0" w:space="0" w:color="auto"/>
                    <w:bottom w:val="none" w:sz="0" w:space="0" w:color="auto"/>
                    <w:right w:val="none" w:sz="0" w:space="0" w:color="auto"/>
                  </w:divBdr>
                  <w:divsChild>
                    <w:div w:id="1837720591">
                      <w:marLeft w:val="0"/>
                      <w:marRight w:val="0"/>
                      <w:marTop w:val="0"/>
                      <w:marBottom w:val="0"/>
                      <w:divBdr>
                        <w:top w:val="none" w:sz="0" w:space="0" w:color="auto"/>
                        <w:left w:val="none" w:sz="0" w:space="0" w:color="auto"/>
                        <w:bottom w:val="none" w:sz="0" w:space="0" w:color="auto"/>
                        <w:right w:val="none" w:sz="0" w:space="0" w:color="auto"/>
                      </w:divBdr>
                      <w:divsChild>
                        <w:div w:id="1348631864">
                          <w:marLeft w:val="0"/>
                          <w:marRight w:val="0"/>
                          <w:marTop w:val="0"/>
                          <w:marBottom w:val="0"/>
                          <w:divBdr>
                            <w:top w:val="none" w:sz="0" w:space="0" w:color="auto"/>
                            <w:left w:val="none" w:sz="0" w:space="0" w:color="auto"/>
                            <w:bottom w:val="none" w:sz="0" w:space="0" w:color="auto"/>
                            <w:right w:val="none" w:sz="0" w:space="0" w:color="auto"/>
                          </w:divBdr>
                          <w:divsChild>
                            <w:div w:id="1624582472">
                              <w:marLeft w:val="0"/>
                              <w:marRight w:val="0"/>
                              <w:marTop w:val="0"/>
                              <w:marBottom w:val="0"/>
                              <w:divBdr>
                                <w:top w:val="none" w:sz="0" w:space="0" w:color="auto"/>
                                <w:left w:val="none" w:sz="0" w:space="0" w:color="auto"/>
                                <w:bottom w:val="none" w:sz="0" w:space="0" w:color="auto"/>
                                <w:right w:val="none" w:sz="0" w:space="0" w:color="auto"/>
                              </w:divBdr>
                              <w:divsChild>
                                <w:div w:id="2079353963">
                                  <w:marLeft w:val="0"/>
                                  <w:marRight w:val="0"/>
                                  <w:marTop w:val="0"/>
                                  <w:marBottom w:val="0"/>
                                  <w:divBdr>
                                    <w:top w:val="none" w:sz="0" w:space="0" w:color="auto"/>
                                    <w:left w:val="none" w:sz="0" w:space="0" w:color="auto"/>
                                    <w:bottom w:val="none" w:sz="0" w:space="0" w:color="auto"/>
                                    <w:right w:val="none" w:sz="0" w:space="0" w:color="auto"/>
                                  </w:divBdr>
                                </w:div>
                                <w:div w:id="18587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520581">
      <w:bodyDiv w:val="1"/>
      <w:marLeft w:val="0"/>
      <w:marRight w:val="0"/>
      <w:marTop w:val="0"/>
      <w:marBottom w:val="0"/>
      <w:divBdr>
        <w:top w:val="none" w:sz="0" w:space="0" w:color="auto"/>
        <w:left w:val="none" w:sz="0" w:space="0" w:color="auto"/>
        <w:bottom w:val="none" w:sz="0" w:space="0" w:color="auto"/>
        <w:right w:val="none" w:sz="0" w:space="0" w:color="auto"/>
      </w:divBdr>
      <w:divsChild>
        <w:div w:id="1880362389">
          <w:marLeft w:val="0"/>
          <w:marRight w:val="0"/>
          <w:marTop w:val="0"/>
          <w:marBottom w:val="1725"/>
          <w:divBdr>
            <w:top w:val="none" w:sz="0" w:space="0" w:color="auto"/>
            <w:left w:val="none" w:sz="0" w:space="0" w:color="auto"/>
            <w:bottom w:val="none" w:sz="0" w:space="0" w:color="auto"/>
            <w:right w:val="none" w:sz="0" w:space="0" w:color="auto"/>
          </w:divBdr>
          <w:divsChild>
            <w:div w:id="1852060054">
              <w:marLeft w:val="0"/>
              <w:marRight w:val="0"/>
              <w:marTop w:val="0"/>
              <w:marBottom w:val="0"/>
              <w:divBdr>
                <w:top w:val="none" w:sz="0" w:space="0" w:color="auto"/>
                <w:left w:val="none" w:sz="0" w:space="0" w:color="auto"/>
                <w:bottom w:val="none" w:sz="0" w:space="0" w:color="auto"/>
                <w:right w:val="none" w:sz="0" w:space="0" w:color="auto"/>
              </w:divBdr>
              <w:divsChild>
                <w:div w:id="1709604509">
                  <w:marLeft w:val="300"/>
                  <w:marRight w:val="300"/>
                  <w:marTop w:val="0"/>
                  <w:marBottom w:val="0"/>
                  <w:divBdr>
                    <w:top w:val="none" w:sz="0" w:space="0" w:color="auto"/>
                    <w:left w:val="none" w:sz="0" w:space="0" w:color="auto"/>
                    <w:bottom w:val="none" w:sz="0" w:space="0" w:color="auto"/>
                    <w:right w:val="none" w:sz="0" w:space="0" w:color="auto"/>
                  </w:divBdr>
                  <w:divsChild>
                    <w:div w:id="902790526">
                      <w:marLeft w:val="0"/>
                      <w:marRight w:val="300"/>
                      <w:marTop w:val="300"/>
                      <w:marBottom w:val="0"/>
                      <w:divBdr>
                        <w:top w:val="none" w:sz="0" w:space="0" w:color="auto"/>
                        <w:left w:val="none" w:sz="0" w:space="0" w:color="auto"/>
                        <w:bottom w:val="none" w:sz="0" w:space="0" w:color="auto"/>
                        <w:right w:val="none" w:sz="0" w:space="0" w:color="auto"/>
                      </w:divBdr>
                      <w:divsChild>
                        <w:div w:id="702749181">
                          <w:marLeft w:val="0"/>
                          <w:marRight w:val="0"/>
                          <w:marTop w:val="0"/>
                          <w:marBottom w:val="300"/>
                          <w:divBdr>
                            <w:top w:val="single" w:sz="18" w:space="6" w:color="000000"/>
                            <w:left w:val="none" w:sz="0" w:space="0" w:color="auto"/>
                            <w:bottom w:val="single" w:sz="6" w:space="6" w:color="000000"/>
                            <w:right w:val="none" w:sz="0" w:space="0" w:color="auto"/>
                          </w:divBdr>
                        </w:div>
                        <w:div w:id="1553426584">
                          <w:marLeft w:val="225"/>
                          <w:marRight w:val="0"/>
                          <w:marTop w:val="0"/>
                          <w:marBottom w:val="0"/>
                          <w:divBdr>
                            <w:top w:val="none" w:sz="0" w:space="0" w:color="auto"/>
                            <w:left w:val="none" w:sz="0" w:space="0" w:color="auto"/>
                            <w:bottom w:val="none" w:sz="0" w:space="0" w:color="auto"/>
                            <w:right w:val="none" w:sz="0" w:space="0" w:color="auto"/>
                          </w:divBdr>
                          <w:divsChild>
                            <w:div w:id="1845364655">
                              <w:marLeft w:val="0"/>
                              <w:marRight w:val="0"/>
                              <w:marTop w:val="0"/>
                              <w:marBottom w:val="15"/>
                              <w:divBdr>
                                <w:top w:val="none" w:sz="0" w:space="0" w:color="auto"/>
                                <w:left w:val="none" w:sz="0" w:space="0" w:color="auto"/>
                                <w:bottom w:val="single" w:sz="12" w:space="0" w:color="000000"/>
                                <w:right w:val="none" w:sz="0" w:space="0" w:color="auto"/>
                              </w:divBdr>
                              <w:divsChild>
                                <w:div w:id="3154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713198">
      <w:bodyDiv w:val="1"/>
      <w:marLeft w:val="0"/>
      <w:marRight w:val="0"/>
      <w:marTop w:val="0"/>
      <w:marBottom w:val="0"/>
      <w:divBdr>
        <w:top w:val="none" w:sz="0" w:space="0" w:color="auto"/>
        <w:left w:val="none" w:sz="0" w:space="0" w:color="auto"/>
        <w:bottom w:val="none" w:sz="0" w:space="0" w:color="auto"/>
        <w:right w:val="none" w:sz="0" w:space="0" w:color="auto"/>
      </w:divBdr>
      <w:divsChild>
        <w:div w:id="1765031958">
          <w:marLeft w:val="0"/>
          <w:marRight w:val="0"/>
          <w:marTop w:val="0"/>
          <w:marBottom w:val="0"/>
          <w:divBdr>
            <w:top w:val="none" w:sz="0" w:space="0" w:color="auto"/>
            <w:left w:val="none" w:sz="0" w:space="0" w:color="auto"/>
            <w:bottom w:val="none" w:sz="0" w:space="0" w:color="auto"/>
            <w:right w:val="none" w:sz="0" w:space="0" w:color="auto"/>
          </w:divBdr>
          <w:divsChild>
            <w:div w:id="653725550">
              <w:marLeft w:val="150"/>
              <w:marRight w:val="150"/>
              <w:marTop w:val="0"/>
              <w:marBottom w:val="150"/>
              <w:divBdr>
                <w:top w:val="none" w:sz="0" w:space="0" w:color="auto"/>
                <w:left w:val="none" w:sz="0" w:space="0" w:color="auto"/>
                <w:bottom w:val="none" w:sz="0" w:space="0" w:color="auto"/>
                <w:right w:val="none" w:sz="0" w:space="0" w:color="auto"/>
              </w:divBdr>
              <w:divsChild>
                <w:div w:id="476723955">
                  <w:marLeft w:val="0"/>
                  <w:marRight w:val="0"/>
                  <w:marTop w:val="0"/>
                  <w:marBottom w:val="0"/>
                  <w:divBdr>
                    <w:top w:val="none" w:sz="0" w:space="0" w:color="auto"/>
                    <w:left w:val="none" w:sz="0" w:space="0" w:color="auto"/>
                    <w:bottom w:val="none" w:sz="0" w:space="0" w:color="auto"/>
                    <w:right w:val="none" w:sz="0" w:space="0" w:color="auto"/>
                  </w:divBdr>
                  <w:divsChild>
                    <w:div w:id="497042431">
                      <w:marLeft w:val="0"/>
                      <w:marRight w:val="0"/>
                      <w:marTop w:val="0"/>
                      <w:marBottom w:val="0"/>
                      <w:divBdr>
                        <w:top w:val="none" w:sz="0" w:space="0" w:color="auto"/>
                        <w:left w:val="none" w:sz="0" w:space="0" w:color="auto"/>
                        <w:bottom w:val="none" w:sz="0" w:space="0" w:color="auto"/>
                        <w:right w:val="none" w:sz="0" w:space="0" w:color="auto"/>
                      </w:divBdr>
                      <w:divsChild>
                        <w:div w:id="732124337">
                          <w:marLeft w:val="0"/>
                          <w:marRight w:val="0"/>
                          <w:marTop w:val="0"/>
                          <w:marBottom w:val="0"/>
                          <w:divBdr>
                            <w:top w:val="none" w:sz="0" w:space="0" w:color="auto"/>
                            <w:left w:val="none" w:sz="0" w:space="0" w:color="auto"/>
                            <w:bottom w:val="none" w:sz="0" w:space="0" w:color="auto"/>
                            <w:right w:val="none" w:sz="0" w:space="0" w:color="auto"/>
                          </w:divBdr>
                          <w:divsChild>
                            <w:div w:id="1733380919">
                              <w:marLeft w:val="0"/>
                              <w:marRight w:val="0"/>
                              <w:marTop w:val="0"/>
                              <w:marBottom w:val="0"/>
                              <w:divBdr>
                                <w:top w:val="none" w:sz="0" w:space="0" w:color="auto"/>
                                <w:left w:val="none" w:sz="0" w:space="0" w:color="auto"/>
                                <w:bottom w:val="none" w:sz="0" w:space="0" w:color="auto"/>
                                <w:right w:val="none" w:sz="0" w:space="0" w:color="auto"/>
                              </w:divBdr>
                              <w:divsChild>
                                <w:div w:id="1068111559">
                                  <w:marLeft w:val="0"/>
                                  <w:marRight w:val="0"/>
                                  <w:marTop w:val="0"/>
                                  <w:marBottom w:val="0"/>
                                  <w:divBdr>
                                    <w:top w:val="none" w:sz="0" w:space="0" w:color="auto"/>
                                    <w:left w:val="none" w:sz="0" w:space="0" w:color="auto"/>
                                    <w:bottom w:val="none" w:sz="0" w:space="0" w:color="auto"/>
                                    <w:right w:val="none" w:sz="0" w:space="0" w:color="auto"/>
                                  </w:divBdr>
                                </w:div>
                                <w:div w:id="13958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481586">
      <w:bodyDiv w:val="1"/>
      <w:marLeft w:val="0"/>
      <w:marRight w:val="0"/>
      <w:marTop w:val="0"/>
      <w:marBottom w:val="0"/>
      <w:divBdr>
        <w:top w:val="none" w:sz="0" w:space="0" w:color="auto"/>
        <w:left w:val="none" w:sz="0" w:space="0" w:color="auto"/>
        <w:bottom w:val="none" w:sz="0" w:space="0" w:color="auto"/>
        <w:right w:val="none" w:sz="0" w:space="0" w:color="auto"/>
      </w:divBdr>
      <w:divsChild>
        <w:div w:id="82142990">
          <w:marLeft w:val="0"/>
          <w:marRight w:val="0"/>
          <w:marTop w:val="0"/>
          <w:marBottom w:val="0"/>
          <w:divBdr>
            <w:top w:val="none" w:sz="0" w:space="0" w:color="auto"/>
            <w:left w:val="none" w:sz="0" w:space="0" w:color="auto"/>
            <w:bottom w:val="none" w:sz="0" w:space="0" w:color="auto"/>
            <w:right w:val="none" w:sz="0" w:space="0" w:color="auto"/>
          </w:divBdr>
          <w:divsChild>
            <w:div w:id="723338165">
              <w:marLeft w:val="150"/>
              <w:marRight w:val="150"/>
              <w:marTop w:val="0"/>
              <w:marBottom w:val="150"/>
              <w:divBdr>
                <w:top w:val="none" w:sz="0" w:space="0" w:color="auto"/>
                <w:left w:val="none" w:sz="0" w:space="0" w:color="auto"/>
                <w:bottom w:val="none" w:sz="0" w:space="0" w:color="auto"/>
                <w:right w:val="none" w:sz="0" w:space="0" w:color="auto"/>
              </w:divBdr>
              <w:divsChild>
                <w:div w:id="405230412">
                  <w:marLeft w:val="0"/>
                  <w:marRight w:val="0"/>
                  <w:marTop w:val="0"/>
                  <w:marBottom w:val="0"/>
                  <w:divBdr>
                    <w:top w:val="none" w:sz="0" w:space="0" w:color="auto"/>
                    <w:left w:val="none" w:sz="0" w:space="0" w:color="auto"/>
                    <w:bottom w:val="none" w:sz="0" w:space="0" w:color="auto"/>
                    <w:right w:val="none" w:sz="0" w:space="0" w:color="auto"/>
                  </w:divBdr>
                  <w:divsChild>
                    <w:div w:id="1348949859">
                      <w:marLeft w:val="0"/>
                      <w:marRight w:val="0"/>
                      <w:marTop w:val="0"/>
                      <w:marBottom w:val="0"/>
                      <w:divBdr>
                        <w:top w:val="none" w:sz="0" w:space="0" w:color="auto"/>
                        <w:left w:val="none" w:sz="0" w:space="0" w:color="auto"/>
                        <w:bottom w:val="none" w:sz="0" w:space="0" w:color="auto"/>
                        <w:right w:val="none" w:sz="0" w:space="0" w:color="auto"/>
                      </w:divBdr>
                      <w:divsChild>
                        <w:div w:id="994534713">
                          <w:marLeft w:val="0"/>
                          <w:marRight w:val="0"/>
                          <w:marTop w:val="0"/>
                          <w:marBottom w:val="0"/>
                          <w:divBdr>
                            <w:top w:val="none" w:sz="0" w:space="0" w:color="auto"/>
                            <w:left w:val="none" w:sz="0" w:space="0" w:color="auto"/>
                            <w:bottom w:val="none" w:sz="0" w:space="0" w:color="auto"/>
                            <w:right w:val="none" w:sz="0" w:space="0" w:color="auto"/>
                          </w:divBdr>
                          <w:divsChild>
                            <w:div w:id="632826768">
                              <w:marLeft w:val="0"/>
                              <w:marRight w:val="0"/>
                              <w:marTop w:val="0"/>
                              <w:marBottom w:val="0"/>
                              <w:divBdr>
                                <w:top w:val="none" w:sz="0" w:space="0" w:color="auto"/>
                                <w:left w:val="none" w:sz="0" w:space="0" w:color="auto"/>
                                <w:bottom w:val="none" w:sz="0" w:space="0" w:color="auto"/>
                                <w:right w:val="none" w:sz="0" w:space="0" w:color="auto"/>
                              </w:divBdr>
                              <w:divsChild>
                                <w:div w:id="1236162732">
                                  <w:marLeft w:val="0"/>
                                  <w:marRight w:val="0"/>
                                  <w:marTop w:val="0"/>
                                  <w:marBottom w:val="0"/>
                                  <w:divBdr>
                                    <w:top w:val="none" w:sz="0" w:space="0" w:color="auto"/>
                                    <w:left w:val="none" w:sz="0" w:space="0" w:color="auto"/>
                                    <w:bottom w:val="none" w:sz="0" w:space="0" w:color="auto"/>
                                    <w:right w:val="none" w:sz="0" w:space="0" w:color="auto"/>
                                  </w:divBdr>
                                </w:div>
                                <w:div w:id="1929922834">
                                  <w:marLeft w:val="0"/>
                                  <w:marRight w:val="0"/>
                                  <w:marTop w:val="0"/>
                                  <w:marBottom w:val="0"/>
                                  <w:divBdr>
                                    <w:top w:val="none" w:sz="0" w:space="0" w:color="auto"/>
                                    <w:left w:val="none" w:sz="0" w:space="0" w:color="auto"/>
                                    <w:bottom w:val="none" w:sz="0" w:space="0" w:color="auto"/>
                                    <w:right w:val="none" w:sz="0" w:space="0" w:color="auto"/>
                                  </w:divBdr>
                                </w:div>
                                <w:div w:id="14317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23373">
      <w:bodyDiv w:val="1"/>
      <w:marLeft w:val="0"/>
      <w:marRight w:val="0"/>
      <w:marTop w:val="0"/>
      <w:marBottom w:val="0"/>
      <w:divBdr>
        <w:top w:val="none" w:sz="0" w:space="0" w:color="auto"/>
        <w:left w:val="none" w:sz="0" w:space="0" w:color="auto"/>
        <w:bottom w:val="none" w:sz="0" w:space="0" w:color="auto"/>
        <w:right w:val="none" w:sz="0" w:space="0" w:color="auto"/>
      </w:divBdr>
      <w:divsChild>
        <w:div w:id="1514683794">
          <w:marLeft w:val="0"/>
          <w:marRight w:val="0"/>
          <w:marTop w:val="0"/>
          <w:marBottom w:val="0"/>
          <w:divBdr>
            <w:top w:val="none" w:sz="0" w:space="0" w:color="auto"/>
            <w:left w:val="none" w:sz="0" w:space="0" w:color="auto"/>
            <w:bottom w:val="none" w:sz="0" w:space="0" w:color="auto"/>
            <w:right w:val="none" w:sz="0" w:space="0" w:color="auto"/>
          </w:divBdr>
          <w:divsChild>
            <w:div w:id="950089978">
              <w:marLeft w:val="150"/>
              <w:marRight w:val="150"/>
              <w:marTop w:val="0"/>
              <w:marBottom w:val="150"/>
              <w:divBdr>
                <w:top w:val="none" w:sz="0" w:space="0" w:color="auto"/>
                <w:left w:val="none" w:sz="0" w:space="0" w:color="auto"/>
                <w:bottom w:val="none" w:sz="0" w:space="0" w:color="auto"/>
                <w:right w:val="none" w:sz="0" w:space="0" w:color="auto"/>
              </w:divBdr>
              <w:divsChild>
                <w:div w:id="1989942205">
                  <w:marLeft w:val="0"/>
                  <w:marRight w:val="0"/>
                  <w:marTop w:val="0"/>
                  <w:marBottom w:val="0"/>
                  <w:divBdr>
                    <w:top w:val="none" w:sz="0" w:space="0" w:color="auto"/>
                    <w:left w:val="none" w:sz="0" w:space="0" w:color="auto"/>
                    <w:bottom w:val="none" w:sz="0" w:space="0" w:color="auto"/>
                    <w:right w:val="none" w:sz="0" w:space="0" w:color="auto"/>
                  </w:divBdr>
                  <w:divsChild>
                    <w:div w:id="355236499">
                      <w:marLeft w:val="0"/>
                      <w:marRight w:val="0"/>
                      <w:marTop w:val="0"/>
                      <w:marBottom w:val="0"/>
                      <w:divBdr>
                        <w:top w:val="none" w:sz="0" w:space="0" w:color="auto"/>
                        <w:left w:val="none" w:sz="0" w:space="0" w:color="auto"/>
                        <w:bottom w:val="none" w:sz="0" w:space="0" w:color="auto"/>
                        <w:right w:val="none" w:sz="0" w:space="0" w:color="auto"/>
                      </w:divBdr>
                      <w:divsChild>
                        <w:div w:id="103504482">
                          <w:marLeft w:val="0"/>
                          <w:marRight w:val="0"/>
                          <w:marTop w:val="0"/>
                          <w:marBottom w:val="0"/>
                          <w:divBdr>
                            <w:top w:val="none" w:sz="0" w:space="0" w:color="auto"/>
                            <w:left w:val="none" w:sz="0" w:space="0" w:color="auto"/>
                            <w:bottom w:val="none" w:sz="0" w:space="0" w:color="auto"/>
                            <w:right w:val="none" w:sz="0" w:space="0" w:color="auto"/>
                          </w:divBdr>
                          <w:divsChild>
                            <w:div w:id="1030227395">
                              <w:marLeft w:val="0"/>
                              <w:marRight w:val="0"/>
                              <w:marTop w:val="0"/>
                              <w:marBottom w:val="0"/>
                              <w:divBdr>
                                <w:top w:val="none" w:sz="0" w:space="0" w:color="auto"/>
                                <w:left w:val="none" w:sz="0" w:space="0" w:color="auto"/>
                                <w:bottom w:val="none" w:sz="0" w:space="0" w:color="auto"/>
                                <w:right w:val="none" w:sz="0" w:space="0" w:color="auto"/>
                              </w:divBdr>
                              <w:divsChild>
                                <w:div w:id="1525634301">
                                  <w:marLeft w:val="0"/>
                                  <w:marRight w:val="0"/>
                                  <w:marTop w:val="0"/>
                                  <w:marBottom w:val="0"/>
                                  <w:divBdr>
                                    <w:top w:val="none" w:sz="0" w:space="0" w:color="auto"/>
                                    <w:left w:val="none" w:sz="0" w:space="0" w:color="auto"/>
                                    <w:bottom w:val="none" w:sz="0" w:space="0" w:color="auto"/>
                                    <w:right w:val="none" w:sz="0" w:space="0" w:color="auto"/>
                                  </w:divBdr>
                                </w:div>
                                <w:div w:id="2100978449">
                                  <w:marLeft w:val="0"/>
                                  <w:marRight w:val="0"/>
                                  <w:marTop w:val="0"/>
                                  <w:marBottom w:val="0"/>
                                  <w:divBdr>
                                    <w:top w:val="none" w:sz="0" w:space="0" w:color="auto"/>
                                    <w:left w:val="none" w:sz="0" w:space="0" w:color="auto"/>
                                    <w:bottom w:val="none" w:sz="0" w:space="0" w:color="auto"/>
                                    <w:right w:val="none" w:sz="0" w:space="0" w:color="auto"/>
                                  </w:divBdr>
                                </w:div>
                                <w:div w:id="9483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045222">
      <w:bodyDiv w:val="1"/>
      <w:marLeft w:val="0"/>
      <w:marRight w:val="0"/>
      <w:marTop w:val="0"/>
      <w:marBottom w:val="0"/>
      <w:divBdr>
        <w:top w:val="none" w:sz="0" w:space="0" w:color="auto"/>
        <w:left w:val="none" w:sz="0" w:space="0" w:color="auto"/>
        <w:bottom w:val="none" w:sz="0" w:space="0" w:color="auto"/>
        <w:right w:val="none" w:sz="0" w:space="0" w:color="auto"/>
      </w:divBdr>
      <w:divsChild>
        <w:div w:id="625625795">
          <w:marLeft w:val="0"/>
          <w:marRight w:val="0"/>
          <w:marTop w:val="0"/>
          <w:marBottom w:val="0"/>
          <w:divBdr>
            <w:top w:val="none" w:sz="0" w:space="0" w:color="auto"/>
            <w:left w:val="none" w:sz="0" w:space="0" w:color="auto"/>
            <w:bottom w:val="none" w:sz="0" w:space="0" w:color="auto"/>
            <w:right w:val="none" w:sz="0" w:space="0" w:color="auto"/>
          </w:divBdr>
          <w:divsChild>
            <w:div w:id="934899183">
              <w:marLeft w:val="150"/>
              <w:marRight w:val="150"/>
              <w:marTop w:val="0"/>
              <w:marBottom w:val="150"/>
              <w:divBdr>
                <w:top w:val="none" w:sz="0" w:space="0" w:color="auto"/>
                <w:left w:val="none" w:sz="0" w:space="0" w:color="auto"/>
                <w:bottom w:val="none" w:sz="0" w:space="0" w:color="auto"/>
                <w:right w:val="none" w:sz="0" w:space="0" w:color="auto"/>
              </w:divBdr>
              <w:divsChild>
                <w:div w:id="164439541">
                  <w:marLeft w:val="0"/>
                  <w:marRight w:val="0"/>
                  <w:marTop w:val="0"/>
                  <w:marBottom w:val="0"/>
                  <w:divBdr>
                    <w:top w:val="none" w:sz="0" w:space="0" w:color="auto"/>
                    <w:left w:val="none" w:sz="0" w:space="0" w:color="auto"/>
                    <w:bottom w:val="none" w:sz="0" w:space="0" w:color="auto"/>
                    <w:right w:val="none" w:sz="0" w:space="0" w:color="auto"/>
                  </w:divBdr>
                  <w:divsChild>
                    <w:div w:id="148062196">
                      <w:marLeft w:val="0"/>
                      <w:marRight w:val="0"/>
                      <w:marTop w:val="0"/>
                      <w:marBottom w:val="0"/>
                      <w:divBdr>
                        <w:top w:val="none" w:sz="0" w:space="0" w:color="auto"/>
                        <w:left w:val="none" w:sz="0" w:space="0" w:color="auto"/>
                        <w:bottom w:val="none" w:sz="0" w:space="0" w:color="auto"/>
                        <w:right w:val="none" w:sz="0" w:space="0" w:color="auto"/>
                      </w:divBdr>
                      <w:divsChild>
                        <w:div w:id="1864246448">
                          <w:marLeft w:val="0"/>
                          <w:marRight w:val="0"/>
                          <w:marTop w:val="0"/>
                          <w:marBottom w:val="0"/>
                          <w:divBdr>
                            <w:top w:val="none" w:sz="0" w:space="0" w:color="auto"/>
                            <w:left w:val="none" w:sz="0" w:space="0" w:color="auto"/>
                            <w:bottom w:val="none" w:sz="0" w:space="0" w:color="auto"/>
                            <w:right w:val="none" w:sz="0" w:space="0" w:color="auto"/>
                          </w:divBdr>
                          <w:divsChild>
                            <w:div w:id="462767902">
                              <w:marLeft w:val="0"/>
                              <w:marRight w:val="0"/>
                              <w:marTop w:val="0"/>
                              <w:marBottom w:val="0"/>
                              <w:divBdr>
                                <w:top w:val="none" w:sz="0" w:space="0" w:color="auto"/>
                                <w:left w:val="none" w:sz="0" w:space="0" w:color="auto"/>
                                <w:bottom w:val="none" w:sz="0" w:space="0" w:color="auto"/>
                                <w:right w:val="none" w:sz="0" w:space="0" w:color="auto"/>
                              </w:divBdr>
                              <w:divsChild>
                                <w:div w:id="969894378">
                                  <w:marLeft w:val="0"/>
                                  <w:marRight w:val="0"/>
                                  <w:marTop w:val="0"/>
                                  <w:marBottom w:val="0"/>
                                  <w:divBdr>
                                    <w:top w:val="none" w:sz="0" w:space="0" w:color="auto"/>
                                    <w:left w:val="none" w:sz="0" w:space="0" w:color="auto"/>
                                    <w:bottom w:val="none" w:sz="0" w:space="0" w:color="auto"/>
                                    <w:right w:val="none" w:sz="0" w:space="0" w:color="auto"/>
                                  </w:divBdr>
                                </w:div>
                                <w:div w:id="16808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269139">
      <w:bodyDiv w:val="1"/>
      <w:marLeft w:val="0"/>
      <w:marRight w:val="0"/>
      <w:marTop w:val="0"/>
      <w:marBottom w:val="0"/>
      <w:divBdr>
        <w:top w:val="none" w:sz="0" w:space="0" w:color="auto"/>
        <w:left w:val="none" w:sz="0" w:space="0" w:color="auto"/>
        <w:bottom w:val="none" w:sz="0" w:space="0" w:color="auto"/>
        <w:right w:val="none" w:sz="0" w:space="0" w:color="auto"/>
      </w:divBdr>
      <w:divsChild>
        <w:div w:id="1618609193">
          <w:marLeft w:val="0"/>
          <w:marRight w:val="0"/>
          <w:marTop w:val="0"/>
          <w:marBottom w:val="0"/>
          <w:divBdr>
            <w:top w:val="none" w:sz="0" w:space="0" w:color="auto"/>
            <w:left w:val="none" w:sz="0" w:space="0" w:color="auto"/>
            <w:bottom w:val="none" w:sz="0" w:space="0" w:color="auto"/>
            <w:right w:val="none" w:sz="0" w:space="0" w:color="auto"/>
          </w:divBdr>
          <w:divsChild>
            <w:div w:id="619336218">
              <w:marLeft w:val="150"/>
              <w:marRight w:val="150"/>
              <w:marTop w:val="0"/>
              <w:marBottom w:val="150"/>
              <w:divBdr>
                <w:top w:val="none" w:sz="0" w:space="0" w:color="auto"/>
                <w:left w:val="none" w:sz="0" w:space="0" w:color="auto"/>
                <w:bottom w:val="none" w:sz="0" w:space="0" w:color="auto"/>
                <w:right w:val="none" w:sz="0" w:space="0" w:color="auto"/>
              </w:divBdr>
              <w:divsChild>
                <w:div w:id="115416561">
                  <w:marLeft w:val="0"/>
                  <w:marRight w:val="0"/>
                  <w:marTop w:val="0"/>
                  <w:marBottom w:val="0"/>
                  <w:divBdr>
                    <w:top w:val="none" w:sz="0" w:space="0" w:color="auto"/>
                    <w:left w:val="none" w:sz="0" w:space="0" w:color="auto"/>
                    <w:bottom w:val="none" w:sz="0" w:space="0" w:color="auto"/>
                    <w:right w:val="none" w:sz="0" w:space="0" w:color="auto"/>
                  </w:divBdr>
                  <w:divsChild>
                    <w:div w:id="1452212474">
                      <w:marLeft w:val="0"/>
                      <w:marRight w:val="0"/>
                      <w:marTop w:val="0"/>
                      <w:marBottom w:val="0"/>
                      <w:divBdr>
                        <w:top w:val="none" w:sz="0" w:space="0" w:color="auto"/>
                        <w:left w:val="none" w:sz="0" w:space="0" w:color="auto"/>
                        <w:bottom w:val="none" w:sz="0" w:space="0" w:color="auto"/>
                        <w:right w:val="none" w:sz="0" w:space="0" w:color="auto"/>
                      </w:divBdr>
                      <w:divsChild>
                        <w:div w:id="310449119">
                          <w:marLeft w:val="0"/>
                          <w:marRight w:val="0"/>
                          <w:marTop w:val="0"/>
                          <w:marBottom w:val="0"/>
                          <w:divBdr>
                            <w:top w:val="none" w:sz="0" w:space="0" w:color="auto"/>
                            <w:left w:val="none" w:sz="0" w:space="0" w:color="auto"/>
                            <w:bottom w:val="none" w:sz="0" w:space="0" w:color="auto"/>
                            <w:right w:val="none" w:sz="0" w:space="0" w:color="auto"/>
                          </w:divBdr>
                          <w:divsChild>
                            <w:div w:id="764689673">
                              <w:marLeft w:val="0"/>
                              <w:marRight w:val="0"/>
                              <w:marTop w:val="0"/>
                              <w:marBottom w:val="0"/>
                              <w:divBdr>
                                <w:top w:val="none" w:sz="0" w:space="0" w:color="auto"/>
                                <w:left w:val="none" w:sz="0" w:space="0" w:color="auto"/>
                                <w:bottom w:val="none" w:sz="0" w:space="0" w:color="auto"/>
                                <w:right w:val="none" w:sz="0" w:space="0" w:color="auto"/>
                              </w:divBdr>
                              <w:divsChild>
                                <w:div w:id="824659943">
                                  <w:marLeft w:val="0"/>
                                  <w:marRight w:val="0"/>
                                  <w:marTop w:val="0"/>
                                  <w:marBottom w:val="0"/>
                                  <w:divBdr>
                                    <w:top w:val="none" w:sz="0" w:space="0" w:color="auto"/>
                                    <w:left w:val="none" w:sz="0" w:space="0" w:color="auto"/>
                                    <w:bottom w:val="none" w:sz="0" w:space="0" w:color="auto"/>
                                    <w:right w:val="none" w:sz="0" w:space="0" w:color="auto"/>
                                  </w:divBdr>
                                </w:div>
                                <w:div w:id="83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899633">
      <w:bodyDiv w:val="1"/>
      <w:marLeft w:val="0"/>
      <w:marRight w:val="0"/>
      <w:marTop w:val="0"/>
      <w:marBottom w:val="0"/>
      <w:divBdr>
        <w:top w:val="none" w:sz="0" w:space="0" w:color="auto"/>
        <w:left w:val="none" w:sz="0" w:space="0" w:color="auto"/>
        <w:bottom w:val="none" w:sz="0" w:space="0" w:color="auto"/>
        <w:right w:val="none" w:sz="0" w:space="0" w:color="auto"/>
      </w:divBdr>
      <w:divsChild>
        <w:div w:id="395904041">
          <w:marLeft w:val="0"/>
          <w:marRight w:val="0"/>
          <w:marTop w:val="0"/>
          <w:marBottom w:val="0"/>
          <w:divBdr>
            <w:top w:val="none" w:sz="0" w:space="0" w:color="auto"/>
            <w:left w:val="none" w:sz="0" w:space="0" w:color="auto"/>
            <w:bottom w:val="none" w:sz="0" w:space="0" w:color="auto"/>
            <w:right w:val="none" w:sz="0" w:space="0" w:color="auto"/>
          </w:divBdr>
          <w:divsChild>
            <w:div w:id="1244876766">
              <w:marLeft w:val="150"/>
              <w:marRight w:val="150"/>
              <w:marTop w:val="0"/>
              <w:marBottom w:val="150"/>
              <w:divBdr>
                <w:top w:val="none" w:sz="0" w:space="0" w:color="auto"/>
                <w:left w:val="none" w:sz="0" w:space="0" w:color="auto"/>
                <w:bottom w:val="none" w:sz="0" w:space="0" w:color="auto"/>
                <w:right w:val="none" w:sz="0" w:space="0" w:color="auto"/>
              </w:divBdr>
              <w:divsChild>
                <w:div w:id="1262840815">
                  <w:marLeft w:val="0"/>
                  <w:marRight w:val="0"/>
                  <w:marTop w:val="0"/>
                  <w:marBottom w:val="0"/>
                  <w:divBdr>
                    <w:top w:val="none" w:sz="0" w:space="0" w:color="auto"/>
                    <w:left w:val="none" w:sz="0" w:space="0" w:color="auto"/>
                    <w:bottom w:val="none" w:sz="0" w:space="0" w:color="auto"/>
                    <w:right w:val="none" w:sz="0" w:space="0" w:color="auto"/>
                  </w:divBdr>
                  <w:divsChild>
                    <w:div w:id="1125848311">
                      <w:marLeft w:val="0"/>
                      <w:marRight w:val="0"/>
                      <w:marTop w:val="0"/>
                      <w:marBottom w:val="0"/>
                      <w:divBdr>
                        <w:top w:val="none" w:sz="0" w:space="0" w:color="auto"/>
                        <w:left w:val="none" w:sz="0" w:space="0" w:color="auto"/>
                        <w:bottom w:val="none" w:sz="0" w:space="0" w:color="auto"/>
                        <w:right w:val="none" w:sz="0" w:space="0" w:color="auto"/>
                      </w:divBdr>
                      <w:divsChild>
                        <w:div w:id="2102749246">
                          <w:marLeft w:val="0"/>
                          <w:marRight w:val="0"/>
                          <w:marTop w:val="0"/>
                          <w:marBottom w:val="0"/>
                          <w:divBdr>
                            <w:top w:val="none" w:sz="0" w:space="0" w:color="auto"/>
                            <w:left w:val="none" w:sz="0" w:space="0" w:color="auto"/>
                            <w:bottom w:val="none" w:sz="0" w:space="0" w:color="auto"/>
                            <w:right w:val="none" w:sz="0" w:space="0" w:color="auto"/>
                          </w:divBdr>
                          <w:divsChild>
                            <w:div w:id="717898716">
                              <w:marLeft w:val="0"/>
                              <w:marRight w:val="0"/>
                              <w:marTop w:val="0"/>
                              <w:marBottom w:val="0"/>
                              <w:divBdr>
                                <w:top w:val="none" w:sz="0" w:space="0" w:color="auto"/>
                                <w:left w:val="none" w:sz="0" w:space="0" w:color="auto"/>
                                <w:bottom w:val="none" w:sz="0" w:space="0" w:color="auto"/>
                                <w:right w:val="none" w:sz="0" w:space="0" w:color="auto"/>
                              </w:divBdr>
                              <w:divsChild>
                                <w:div w:id="134833918">
                                  <w:marLeft w:val="0"/>
                                  <w:marRight w:val="0"/>
                                  <w:marTop w:val="0"/>
                                  <w:marBottom w:val="0"/>
                                  <w:divBdr>
                                    <w:top w:val="none" w:sz="0" w:space="0" w:color="auto"/>
                                    <w:left w:val="none" w:sz="0" w:space="0" w:color="auto"/>
                                    <w:bottom w:val="none" w:sz="0" w:space="0" w:color="auto"/>
                                    <w:right w:val="none" w:sz="0" w:space="0" w:color="auto"/>
                                  </w:divBdr>
                                </w:div>
                                <w:div w:id="1145660423">
                                  <w:marLeft w:val="0"/>
                                  <w:marRight w:val="0"/>
                                  <w:marTop w:val="0"/>
                                  <w:marBottom w:val="0"/>
                                  <w:divBdr>
                                    <w:top w:val="none" w:sz="0" w:space="0" w:color="auto"/>
                                    <w:left w:val="none" w:sz="0" w:space="0" w:color="auto"/>
                                    <w:bottom w:val="none" w:sz="0" w:space="0" w:color="auto"/>
                                    <w:right w:val="none" w:sz="0" w:space="0" w:color="auto"/>
                                  </w:divBdr>
                                </w:div>
                                <w:div w:id="906844190">
                                  <w:marLeft w:val="0"/>
                                  <w:marRight w:val="0"/>
                                  <w:marTop w:val="0"/>
                                  <w:marBottom w:val="0"/>
                                  <w:divBdr>
                                    <w:top w:val="none" w:sz="0" w:space="0" w:color="auto"/>
                                    <w:left w:val="none" w:sz="0" w:space="0" w:color="auto"/>
                                    <w:bottom w:val="none" w:sz="0" w:space="0" w:color="auto"/>
                                    <w:right w:val="none" w:sz="0" w:space="0" w:color="auto"/>
                                  </w:divBdr>
                                  <w:divsChild>
                                    <w:div w:id="442892627">
                                      <w:marLeft w:val="0"/>
                                      <w:marRight w:val="0"/>
                                      <w:marTop w:val="0"/>
                                      <w:marBottom w:val="0"/>
                                      <w:divBdr>
                                        <w:top w:val="none" w:sz="0" w:space="0" w:color="auto"/>
                                        <w:left w:val="none" w:sz="0" w:space="0" w:color="auto"/>
                                        <w:bottom w:val="none" w:sz="0" w:space="0" w:color="auto"/>
                                        <w:right w:val="none" w:sz="0" w:space="0" w:color="auto"/>
                                      </w:divBdr>
                                      <w:divsChild>
                                        <w:div w:id="912667599">
                                          <w:marLeft w:val="0"/>
                                          <w:marRight w:val="0"/>
                                          <w:marTop w:val="0"/>
                                          <w:marBottom w:val="0"/>
                                          <w:divBdr>
                                            <w:top w:val="none" w:sz="0" w:space="0" w:color="auto"/>
                                            <w:left w:val="none" w:sz="0" w:space="0" w:color="auto"/>
                                            <w:bottom w:val="none" w:sz="0" w:space="0" w:color="auto"/>
                                            <w:right w:val="none" w:sz="0" w:space="0" w:color="auto"/>
                                          </w:divBdr>
                                        </w:div>
                                      </w:divsChild>
                                    </w:div>
                                    <w:div w:id="1652102894">
                                      <w:marLeft w:val="0"/>
                                      <w:marRight w:val="0"/>
                                      <w:marTop w:val="0"/>
                                      <w:marBottom w:val="0"/>
                                      <w:divBdr>
                                        <w:top w:val="none" w:sz="0" w:space="0" w:color="auto"/>
                                        <w:left w:val="none" w:sz="0" w:space="0" w:color="auto"/>
                                        <w:bottom w:val="none" w:sz="0" w:space="0" w:color="auto"/>
                                        <w:right w:val="none" w:sz="0" w:space="0" w:color="auto"/>
                                      </w:divBdr>
                                      <w:divsChild>
                                        <w:div w:id="13093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457041">
      <w:bodyDiv w:val="1"/>
      <w:marLeft w:val="0"/>
      <w:marRight w:val="0"/>
      <w:marTop w:val="0"/>
      <w:marBottom w:val="0"/>
      <w:divBdr>
        <w:top w:val="none" w:sz="0" w:space="0" w:color="auto"/>
        <w:left w:val="none" w:sz="0" w:space="0" w:color="auto"/>
        <w:bottom w:val="none" w:sz="0" w:space="0" w:color="auto"/>
        <w:right w:val="none" w:sz="0" w:space="0" w:color="auto"/>
      </w:divBdr>
      <w:divsChild>
        <w:div w:id="1983804802">
          <w:marLeft w:val="0"/>
          <w:marRight w:val="0"/>
          <w:marTop w:val="0"/>
          <w:marBottom w:val="0"/>
          <w:divBdr>
            <w:top w:val="none" w:sz="0" w:space="0" w:color="auto"/>
            <w:left w:val="none" w:sz="0" w:space="0" w:color="auto"/>
            <w:bottom w:val="none" w:sz="0" w:space="0" w:color="auto"/>
            <w:right w:val="none" w:sz="0" w:space="0" w:color="auto"/>
          </w:divBdr>
          <w:divsChild>
            <w:div w:id="1777826808">
              <w:marLeft w:val="150"/>
              <w:marRight w:val="150"/>
              <w:marTop w:val="0"/>
              <w:marBottom w:val="150"/>
              <w:divBdr>
                <w:top w:val="none" w:sz="0" w:space="0" w:color="auto"/>
                <w:left w:val="none" w:sz="0" w:space="0" w:color="auto"/>
                <w:bottom w:val="none" w:sz="0" w:space="0" w:color="auto"/>
                <w:right w:val="none" w:sz="0" w:space="0" w:color="auto"/>
              </w:divBdr>
              <w:divsChild>
                <w:div w:id="1740521646">
                  <w:marLeft w:val="0"/>
                  <w:marRight w:val="0"/>
                  <w:marTop w:val="0"/>
                  <w:marBottom w:val="0"/>
                  <w:divBdr>
                    <w:top w:val="none" w:sz="0" w:space="0" w:color="auto"/>
                    <w:left w:val="none" w:sz="0" w:space="0" w:color="auto"/>
                    <w:bottom w:val="none" w:sz="0" w:space="0" w:color="auto"/>
                    <w:right w:val="none" w:sz="0" w:space="0" w:color="auto"/>
                  </w:divBdr>
                  <w:divsChild>
                    <w:div w:id="339551838">
                      <w:marLeft w:val="0"/>
                      <w:marRight w:val="0"/>
                      <w:marTop w:val="0"/>
                      <w:marBottom w:val="0"/>
                      <w:divBdr>
                        <w:top w:val="none" w:sz="0" w:space="0" w:color="auto"/>
                        <w:left w:val="none" w:sz="0" w:space="0" w:color="auto"/>
                        <w:bottom w:val="none" w:sz="0" w:space="0" w:color="auto"/>
                        <w:right w:val="none" w:sz="0" w:space="0" w:color="auto"/>
                      </w:divBdr>
                      <w:divsChild>
                        <w:div w:id="1842773712">
                          <w:marLeft w:val="0"/>
                          <w:marRight w:val="0"/>
                          <w:marTop w:val="0"/>
                          <w:marBottom w:val="0"/>
                          <w:divBdr>
                            <w:top w:val="none" w:sz="0" w:space="0" w:color="auto"/>
                            <w:left w:val="none" w:sz="0" w:space="0" w:color="auto"/>
                            <w:bottom w:val="none" w:sz="0" w:space="0" w:color="auto"/>
                            <w:right w:val="none" w:sz="0" w:space="0" w:color="auto"/>
                          </w:divBdr>
                          <w:divsChild>
                            <w:div w:id="1736077206">
                              <w:marLeft w:val="0"/>
                              <w:marRight w:val="0"/>
                              <w:marTop w:val="0"/>
                              <w:marBottom w:val="0"/>
                              <w:divBdr>
                                <w:top w:val="none" w:sz="0" w:space="0" w:color="auto"/>
                                <w:left w:val="none" w:sz="0" w:space="0" w:color="auto"/>
                                <w:bottom w:val="none" w:sz="0" w:space="0" w:color="auto"/>
                                <w:right w:val="none" w:sz="0" w:space="0" w:color="auto"/>
                              </w:divBdr>
                              <w:divsChild>
                                <w:div w:id="210115555">
                                  <w:marLeft w:val="0"/>
                                  <w:marRight w:val="0"/>
                                  <w:marTop w:val="0"/>
                                  <w:marBottom w:val="0"/>
                                  <w:divBdr>
                                    <w:top w:val="none" w:sz="0" w:space="0" w:color="auto"/>
                                    <w:left w:val="none" w:sz="0" w:space="0" w:color="auto"/>
                                    <w:bottom w:val="none" w:sz="0" w:space="0" w:color="auto"/>
                                    <w:right w:val="none" w:sz="0" w:space="0" w:color="auto"/>
                                  </w:divBdr>
                                </w:div>
                                <w:div w:id="1663704286">
                                  <w:marLeft w:val="0"/>
                                  <w:marRight w:val="0"/>
                                  <w:marTop w:val="0"/>
                                  <w:marBottom w:val="0"/>
                                  <w:divBdr>
                                    <w:top w:val="none" w:sz="0" w:space="0" w:color="auto"/>
                                    <w:left w:val="none" w:sz="0" w:space="0" w:color="auto"/>
                                    <w:bottom w:val="none" w:sz="0" w:space="0" w:color="auto"/>
                                    <w:right w:val="none" w:sz="0" w:space="0" w:color="auto"/>
                                  </w:divBdr>
                                </w:div>
                                <w:div w:id="1938782074">
                                  <w:marLeft w:val="0"/>
                                  <w:marRight w:val="0"/>
                                  <w:marTop w:val="0"/>
                                  <w:marBottom w:val="0"/>
                                  <w:divBdr>
                                    <w:top w:val="none" w:sz="0" w:space="0" w:color="auto"/>
                                    <w:left w:val="none" w:sz="0" w:space="0" w:color="auto"/>
                                    <w:bottom w:val="none" w:sz="0" w:space="0" w:color="auto"/>
                                    <w:right w:val="none" w:sz="0" w:space="0" w:color="auto"/>
                                  </w:divBdr>
                                </w:div>
                                <w:div w:id="582111755">
                                  <w:marLeft w:val="0"/>
                                  <w:marRight w:val="0"/>
                                  <w:marTop w:val="0"/>
                                  <w:marBottom w:val="0"/>
                                  <w:divBdr>
                                    <w:top w:val="none" w:sz="0" w:space="0" w:color="auto"/>
                                    <w:left w:val="none" w:sz="0" w:space="0" w:color="auto"/>
                                    <w:bottom w:val="none" w:sz="0" w:space="0" w:color="auto"/>
                                    <w:right w:val="none" w:sz="0" w:space="0" w:color="auto"/>
                                  </w:divBdr>
                                </w:div>
                                <w:div w:id="193077725">
                                  <w:marLeft w:val="0"/>
                                  <w:marRight w:val="0"/>
                                  <w:marTop w:val="0"/>
                                  <w:marBottom w:val="0"/>
                                  <w:divBdr>
                                    <w:top w:val="none" w:sz="0" w:space="0" w:color="auto"/>
                                    <w:left w:val="none" w:sz="0" w:space="0" w:color="auto"/>
                                    <w:bottom w:val="none" w:sz="0" w:space="0" w:color="auto"/>
                                    <w:right w:val="none" w:sz="0" w:space="0" w:color="auto"/>
                                  </w:divBdr>
                                </w:div>
                                <w:div w:id="753428970">
                                  <w:marLeft w:val="0"/>
                                  <w:marRight w:val="0"/>
                                  <w:marTop w:val="0"/>
                                  <w:marBottom w:val="0"/>
                                  <w:divBdr>
                                    <w:top w:val="none" w:sz="0" w:space="0" w:color="auto"/>
                                    <w:left w:val="none" w:sz="0" w:space="0" w:color="auto"/>
                                    <w:bottom w:val="none" w:sz="0" w:space="0" w:color="auto"/>
                                    <w:right w:val="none" w:sz="0" w:space="0" w:color="auto"/>
                                  </w:divBdr>
                                </w:div>
                                <w:div w:id="1768192719">
                                  <w:marLeft w:val="0"/>
                                  <w:marRight w:val="0"/>
                                  <w:marTop w:val="0"/>
                                  <w:marBottom w:val="0"/>
                                  <w:divBdr>
                                    <w:top w:val="none" w:sz="0" w:space="0" w:color="auto"/>
                                    <w:left w:val="none" w:sz="0" w:space="0" w:color="auto"/>
                                    <w:bottom w:val="none" w:sz="0" w:space="0" w:color="auto"/>
                                    <w:right w:val="none" w:sz="0" w:space="0" w:color="auto"/>
                                  </w:divBdr>
                                </w:div>
                                <w:div w:id="616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023704">
      <w:bodyDiv w:val="1"/>
      <w:marLeft w:val="0"/>
      <w:marRight w:val="0"/>
      <w:marTop w:val="0"/>
      <w:marBottom w:val="0"/>
      <w:divBdr>
        <w:top w:val="none" w:sz="0" w:space="0" w:color="auto"/>
        <w:left w:val="none" w:sz="0" w:space="0" w:color="auto"/>
        <w:bottom w:val="none" w:sz="0" w:space="0" w:color="auto"/>
        <w:right w:val="none" w:sz="0" w:space="0" w:color="auto"/>
      </w:divBdr>
      <w:divsChild>
        <w:div w:id="911086595">
          <w:marLeft w:val="0"/>
          <w:marRight w:val="0"/>
          <w:marTop w:val="0"/>
          <w:marBottom w:val="0"/>
          <w:divBdr>
            <w:top w:val="none" w:sz="0" w:space="0" w:color="auto"/>
            <w:left w:val="none" w:sz="0" w:space="0" w:color="auto"/>
            <w:bottom w:val="none" w:sz="0" w:space="0" w:color="auto"/>
            <w:right w:val="none" w:sz="0" w:space="0" w:color="auto"/>
          </w:divBdr>
          <w:divsChild>
            <w:div w:id="1129981989">
              <w:marLeft w:val="150"/>
              <w:marRight w:val="150"/>
              <w:marTop w:val="0"/>
              <w:marBottom w:val="150"/>
              <w:divBdr>
                <w:top w:val="none" w:sz="0" w:space="0" w:color="auto"/>
                <w:left w:val="none" w:sz="0" w:space="0" w:color="auto"/>
                <w:bottom w:val="none" w:sz="0" w:space="0" w:color="auto"/>
                <w:right w:val="none" w:sz="0" w:space="0" w:color="auto"/>
              </w:divBdr>
              <w:divsChild>
                <w:div w:id="2029526647">
                  <w:marLeft w:val="0"/>
                  <w:marRight w:val="0"/>
                  <w:marTop w:val="0"/>
                  <w:marBottom w:val="0"/>
                  <w:divBdr>
                    <w:top w:val="none" w:sz="0" w:space="0" w:color="auto"/>
                    <w:left w:val="none" w:sz="0" w:space="0" w:color="auto"/>
                    <w:bottom w:val="none" w:sz="0" w:space="0" w:color="auto"/>
                    <w:right w:val="none" w:sz="0" w:space="0" w:color="auto"/>
                  </w:divBdr>
                  <w:divsChild>
                    <w:div w:id="1330139285">
                      <w:marLeft w:val="0"/>
                      <w:marRight w:val="0"/>
                      <w:marTop w:val="0"/>
                      <w:marBottom w:val="0"/>
                      <w:divBdr>
                        <w:top w:val="none" w:sz="0" w:space="0" w:color="auto"/>
                        <w:left w:val="none" w:sz="0" w:space="0" w:color="auto"/>
                        <w:bottom w:val="none" w:sz="0" w:space="0" w:color="auto"/>
                        <w:right w:val="none" w:sz="0" w:space="0" w:color="auto"/>
                      </w:divBdr>
                      <w:divsChild>
                        <w:div w:id="1308125700">
                          <w:marLeft w:val="0"/>
                          <w:marRight w:val="0"/>
                          <w:marTop w:val="0"/>
                          <w:marBottom w:val="0"/>
                          <w:divBdr>
                            <w:top w:val="none" w:sz="0" w:space="0" w:color="auto"/>
                            <w:left w:val="none" w:sz="0" w:space="0" w:color="auto"/>
                            <w:bottom w:val="none" w:sz="0" w:space="0" w:color="auto"/>
                            <w:right w:val="none" w:sz="0" w:space="0" w:color="auto"/>
                          </w:divBdr>
                          <w:divsChild>
                            <w:div w:id="1161581859">
                              <w:marLeft w:val="0"/>
                              <w:marRight w:val="0"/>
                              <w:marTop w:val="0"/>
                              <w:marBottom w:val="0"/>
                              <w:divBdr>
                                <w:top w:val="none" w:sz="0" w:space="0" w:color="auto"/>
                                <w:left w:val="none" w:sz="0" w:space="0" w:color="auto"/>
                                <w:bottom w:val="none" w:sz="0" w:space="0" w:color="auto"/>
                                <w:right w:val="none" w:sz="0" w:space="0" w:color="auto"/>
                              </w:divBdr>
                              <w:divsChild>
                                <w:div w:id="1021665968">
                                  <w:marLeft w:val="0"/>
                                  <w:marRight w:val="0"/>
                                  <w:marTop w:val="0"/>
                                  <w:marBottom w:val="0"/>
                                  <w:divBdr>
                                    <w:top w:val="none" w:sz="0" w:space="0" w:color="auto"/>
                                    <w:left w:val="none" w:sz="0" w:space="0" w:color="auto"/>
                                    <w:bottom w:val="none" w:sz="0" w:space="0" w:color="auto"/>
                                    <w:right w:val="none" w:sz="0" w:space="0" w:color="auto"/>
                                  </w:divBdr>
                                </w:div>
                                <w:div w:id="3549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190844">
      <w:bodyDiv w:val="1"/>
      <w:marLeft w:val="0"/>
      <w:marRight w:val="0"/>
      <w:marTop w:val="0"/>
      <w:marBottom w:val="0"/>
      <w:divBdr>
        <w:top w:val="none" w:sz="0" w:space="0" w:color="auto"/>
        <w:left w:val="none" w:sz="0" w:space="0" w:color="auto"/>
        <w:bottom w:val="none" w:sz="0" w:space="0" w:color="auto"/>
        <w:right w:val="none" w:sz="0" w:space="0" w:color="auto"/>
      </w:divBdr>
      <w:divsChild>
        <w:div w:id="384716881">
          <w:marLeft w:val="0"/>
          <w:marRight w:val="0"/>
          <w:marTop w:val="0"/>
          <w:marBottom w:val="0"/>
          <w:divBdr>
            <w:top w:val="none" w:sz="0" w:space="0" w:color="auto"/>
            <w:left w:val="none" w:sz="0" w:space="0" w:color="auto"/>
            <w:bottom w:val="none" w:sz="0" w:space="0" w:color="auto"/>
            <w:right w:val="none" w:sz="0" w:space="0" w:color="auto"/>
          </w:divBdr>
        </w:div>
        <w:div w:id="1542329735">
          <w:marLeft w:val="0"/>
          <w:marRight w:val="0"/>
          <w:marTop w:val="0"/>
          <w:marBottom w:val="0"/>
          <w:divBdr>
            <w:top w:val="none" w:sz="0" w:space="0" w:color="auto"/>
            <w:left w:val="none" w:sz="0" w:space="0" w:color="auto"/>
            <w:bottom w:val="none" w:sz="0" w:space="0" w:color="auto"/>
            <w:right w:val="none" w:sz="0" w:space="0" w:color="auto"/>
          </w:divBdr>
        </w:div>
        <w:div w:id="1666515010">
          <w:marLeft w:val="0"/>
          <w:marRight w:val="0"/>
          <w:marTop w:val="0"/>
          <w:marBottom w:val="0"/>
          <w:divBdr>
            <w:top w:val="none" w:sz="0" w:space="0" w:color="auto"/>
            <w:left w:val="none" w:sz="0" w:space="0" w:color="auto"/>
            <w:bottom w:val="none" w:sz="0" w:space="0" w:color="auto"/>
            <w:right w:val="none" w:sz="0" w:space="0" w:color="auto"/>
          </w:divBdr>
        </w:div>
        <w:div w:id="1538352003">
          <w:marLeft w:val="0"/>
          <w:marRight w:val="0"/>
          <w:marTop w:val="0"/>
          <w:marBottom w:val="0"/>
          <w:divBdr>
            <w:top w:val="none" w:sz="0" w:space="0" w:color="auto"/>
            <w:left w:val="none" w:sz="0" w:space="0" w:color="auto"/>
            <w:bottom w:val="none" w:sz="0" w:space="0" w:color="auto"/>
            <w:right w:val="none" w:sz="0" w:space="0" w:color="auto"/>
          </w:divBdr>
        </w:div>
        <w:div w:id="1052844694">
          <w:marLeft w:val="0"/>
          <w:marRight w:val="0"/>
          <w:marTop w:val="0"/>
          <w:marBottom w:val="0"/>
          <w:divBdr>
            <w:top w:val="none" w:sz="0" w:space="0" w:color="auto"/>
            <w:left w:val="none" w:sz="0" w:space="0" w:color="auto"/>
            <w:bottom w:val="none" w:sz="0" w:space="0" w:color="auto"/>
            <w:right w:val="none" w:sz="0" w:space="0" w:color="auto"/>
          </w:divBdr>
        </w:div>
        <w:div w:id="1592934029">
          <w:marLeft w:val="0"/>
          <w:marRight w:val="0"/>
          <w:marTop w:val="0"/>
          <w:marBottom w:val="0"/>
          <w:divBdr>
            <w:top w:val="none" w:sz="0" w:space="0" w:color="auto"/>
            <w:left w:val="none" w:sz="0" w:space="0" w:color="auto"/>
            <w:bottom w:val="none" w:sz="0" w:space="0" w:color="auto"/>
            <w:right w:val="none" w:sz="0" w:space="0" w:color="auto"/>
          </w:divBdr>
        </w:div>
      </w:divsChild>
    </w:div>
    <w:div w:id="1153990267">
      <w:bodyDiv w:val="1"/>
      <w:marLeft w:val="0"/>
      <w:marRight w:val="0"/>
      <w:marTop w:val="0"/>
      <w:marBottom w:val="0"/>
      <w:divBdr>
        <w:top w:val="none" w:sz="0" w:space="0" w:color="auto"/>
        <w:left w:val="none" w:sz="0" w:space="0" w:color="auto"/>
        <w:bottom w:val="none" w:sz="0" w:space="0" w:color="auto"/>
        <w:right w:val="none" w:sz="0" w:space="0" w:color="auto"/>
      </w:divBdr>
      <w:divsChild>
        <w:div w:id="1386374830">
          <w:marLeft w:val="0"/>
          <w:marRight w:val="0"/>
          <w:marTop w:val="0"/>
          <w:marBottom w:val="0"/>
          <w:divBdr>
            <w:top w:val="none" w:sz="0" w:space="0" w:color="auto"/>
            <w:left w:val="none" w:sz="0" w:space="0" w:color="auto"/>
            <w:bottom w:val="none" w:sz="0" w:space="0" w:color="auto"/>
            <w:right w:val="none" w:sz="0" w:space="0" w:color="auto"/>
          </w:divBdr>
          <w:divsChild>
            <w:div w:id="170682788">
              <w:marLeft w:val="150"/>
              <w:marRight w:val="150"/>
              <w:marTop w:val="0"/>
              <w:marBottom w:val="150"/>
              <w:divBdr>
                <w:top w:val="none" w:sz="0" w:space="0" w:color="auto"/>
                <w:left w:val="none" w:sz="0" w:space="0" w:color="auto"/>
                <w:bottom w:val="none" w:sz="0" w:space="0" w:color="auto"/>
                <w:right w:val="none" w:sz="0" w:space="0" w:color="auto"/>
              </w:divBdr>
              <w:divsChild>
                <w:div w:id="1880849544">
                  <w:marLeft w:val="0"/>
                  <w:marRight w:val="0"/>
                  <w:marTop w:val="0"/>
                  <w:marBottom w:val="0"/>
                  <w:divBdr>
                    <w:top w:val="none" w:sz="0" w:space="0" w:color="auto"/>
                    <w:left w:val="none" w:sz="0" w:space="0" w:color="auto"/>
                    <w:bottom w:val="none" w:sz="0" w:space="0" w:color="auto"/>
                    <w:right w:val="none" w:sz="0" w:space="0" w:color="auto"/>
                  </w:divBdr>
                  <w:divsChild>
                    <w:div w:id="1610427902">
                      <w:marLeft w:val="0"/>
                      <w:marRight w:val="0"/>
                      <w:marTop w:val="0"/>
                      <w:marBottom w:val="0"/>
                      <w:divBdr>
                        <w:top w:val="none" w:sz="0" w:space="0" w:color="auto"/>
                        <w:left w:val="none" w:sz="0" w:space="0" w:color="auto"/>
                        <w:bottom w:val="none" w:sz="0" w:space="0" w:color="auto"/>
                        <w:right w:val="none" w:sz="0" w:space="0" w:color="auto"/>
                      </w:divBdr>
                      <w:divsChild>
                        <w:div w:id="18120472">
                          <w:marLeft w:val="0"/>
                          <w:marRight w:val="0"/>
                          <w:marTop w:val="0"/>
                          <w:marBottom w:val="0"/>
                          <w:divBdr>
                            <w:top w:val="none" w:sz="0" w:space="0" w:color="auto"/>
                            <w:left w:val="none" w:sz="0" w:space="0" w:color="auto"/>
                            <w:bottom w:val="none" w:sz="0" w:space="0" w:color="auto"/>
                            <w:right w:val="none" w:sz="0" w:space="0" w:color="auto"/>
                          </w:divBdr>
                          <w:divsChild>
                            <w:div w:id="552430079">
                              <w:marLeft w:val="0"/>
                              <w:marRight w:val="0"/>
                              <w:marTop w:val="0"/>
                              <w:marBottom w:val="0"/>
                              <w:divBdr>
                                <w:top w:val="none" w:sz="0" w:space="0" w:color="auto"/>
                                <w:left w:val="none" w:sz="0" w:space="0" w:color="auto"/>
                                <w:bottom w:val="none" w:sz="0" w:space="0" w:color="auto"/>
                                <w:right w:val="none" w:sz="0" w:space="0" w:color="auto"/>
                              </w:divBdr>
                              <w:divsChild>
                                <w:div w:id="1628118970">
                                  <w:marLeft w:val="0"/>
                                  <w:marRight w:val="0"/>
                                  <w:marTop w:val="0"/>
                                  <w:marBottom w:val="0"/>
                                  <w:divBdr>
                                    <w:top w:val="none" w:sz="0" w:space="0" w:color="auto"/>
                                    <w:left w:val="none" w:sz="0" w:space="0" w:color="auto"/>
                                    <w:bottom w:val="none" w:sz="0" w:space="0" w:color="auto"/>
                                    <w:right w:val="none" w:sz="0" w:space="0" w:color="auto"/>
                                  </w:divBdr>
                                </w:div>
                                <w:div w:id="8956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369576">
      <w:bodyDiv w:val="1"/>
      <w:marLeft w:val="0"/>
      <w:marRight w:val="0"/>
      <w:marTop w:val="0"/>
      <w:marBottom w:val="0"/>
      <w:divBdr>
        <w:top w:val="none" w:sz="0" w:space="0" w:color="auto"/>
        <w:left w:val="none" w:sz="0" w:space="0" w:color="auto"/>
        <w:bottom w:val="none" w:sz="0" w:space="0" w:color="auto"/>
        <w:right w:val="none" w:sz="0" w:space="0" w:color="auto"/>
      </w:divBdr>
      <w:divsChild>
        <w:div w:id="473839905">
          <w:marLeft w:val="0"/>
          <w:marRight w:val="0"/>
          <w:marTop w:val="0"/>
          <w:marBottom w:val="0"/>
          <w:divBdr>
            <w:top w:val="none" w:sz="0" w:space="0" w:color="auto"/>
            <w:left w:val="none" w:sz="0" w:space="0" w:color="auto"/>
            <w:bottom w:val="none" w:sz="0" w:space="0" w:color="auto"/>
            <w:right w:val="none" w:sz="0" w:space="0" w:color="auto"/>
          </w:divBdr>
          <w:divsChild>
            <w:div w:id="546768533">
              <w:marLeft w:val="150"/>
              <w:marRight w:val="150"/>
              <w:marTop w:val="0"/>
              <w:marBottom w:val="150"/>
              <w:divBdr>
                <w:top w:val="none" w:sz="0" w:space="0" w:color="auto"/>
                <w:left w:val="none" w:sz="0" w:space="0" w:color="auto"/>
                <w:bottom w:val="none" w:sz="0" w:space="0" w:color="auto"/>
                <w:right w:val="none" w:sz="0" w:space="0" w:color="auto"/>
              </w:divBdr>
              <w:divsChild>
                <w:div w:id="1483690347">
                  <w:marLeft w:val="0"/>
                  <w:marRight w:val="0"/>
                  <w:marTop w:val="0"/>
                  <w:marBottom w:val="0"/>
                  <w:divBdr>
                    <w:top w:val="none" w:sz="0" w:space="0" w:color="auto"/>
                    <w:left w:val="none" w:sz="0" w:space="0" w:color="auto"/>
                    <w:bottom w:val="none" w:sz="0" w:space="0" w:color="auto"/>
                    <w:right w:val="none" w:sz="0" w:space="0" w:color="auto"/>
                  </w:divBdr>
                  <w:divsChild>
                    <w:div w:id="1867980274">
                      <w:marLeft w:val="0"/>
                      <w:marRight w:val="0"/>
                      <w:marTop w:val="0"/>
                      <w:marBottom w:val="0"/>
                      <w:divBdr>
                        <w:top w:val="none" w:sz="0" w:space="0" w:color="auto"/>
                        <w:left w:val="none" w:sz="0" w:space="0" w:color="auto"/>
                        <w:bottom w:val="none" w:sz="0" w:space="0" w:color="auto"/>
                        <w:right w:val="none" w:sz="0" w:space="0" w:color="auto"/>
                      </w:divBdr>
                      <w:divsChild>
                        <w:div w:id="1794058336">
                          <w:marLeft w:val="0"/>
                          <w:marRight w:val="0"/>
                          <w:marTop w:val="0"/>
                          <w:marBottom w:val="0"/>
                          <w:divBdr>
                            <w:top w:val="none" w:sz="0" w:space="0" w:color="auto"/>
                            <w:left w:val="none" w:sz="0" w:space="0" w:color="auto"/>
                            <w:bottom w:val="none" w:sz="0" w:space="0" w:color="auto"/>
                            <w:right w:val="none" w:sz="0" w:space="0" w:color="auto"/>
                          </w:divBdr>
                          <w:divsChild>
                            <w:div w:id="1474908458">
                              <w:marLeft w:val="0"/>
                              <w:marRight w:val="0"/>
                              <w:marTop w:val="0"/>
                              <w:marBottom w:val="0"/>
                              <w:divBdr>
                                <w:top w:val="none" w:sz="0" w:space="0" w:color="auto"/>
                                <w:left w:val="none" w:sz="0" w:space="0" w:color="auto"/>
                                <w:bottom w:val="none" w:sz="0" w:space="0" w:color="auto"/>
                                <w:right w:val="none" w:sz="0" w:space="0" w:color="auto"/>
                              </w:divBdr>
                              <w:divsChild>
                                <w:div w:id="2018382611">
                                  <w:marLeft w:val="0"/>
                                  <w:marRight w:val="0"/>
                                  <w:marTop w:val="0"/>
                                  <w:marBottom w:val="0"/>
                                  <w:divBdr>
                                    <w:top w:val="none" w:sz="0" w:space="0" w:color="auto"/>
                                    <w:left w:val="none" w:sz="0" w:space="0" w:color="auto"/>
                                    <w:bottom w:val="none" w:sz="0" w:space="0" w:color="auto"/>
                                    <w:right w:val="none" w:sz="0" w:space="0" w:color="auto"/>
                                  </w:divBdr>
                                </w:div>
                                <w:div w:id="1551579051">
                                  <w:marLeft w:val="0"/>
                                  <w:marRight w:val="0"/>
                                  <w:marTop w:val="0"/>
                                  <w:marBottom w:val="0"/>
                                  <w:divBdr>
                                    <w:top w:val="none" w:sz="0" w:space="0" w:color="auto"/>
                                    <w:left w:val="none" w:sz="0" w:space="0" w:color="auto"/>
                                    <w:bottom w:val="none" w:sz="0" w:space="0" w:color="auto"/>
                                    <w:right w:val="none" w:sz="0" w:space="0" w:color="auto"/>
                                  </w:divBdr>
                                </w:div>
                                <w:div w:id="768737537">
                                  <w:marLeft w:val="0"/>
                                  <w:marRight w:val="0"/>
                                  <w:marTop w:val="0"/>
                                  <w:marBottom w:val="0"/>
                                  <w:divBdr>
                                    <w:top w:val="none" w:sz="0" w:space="0" w:color="auto"/>
                                    <w:left w:val="none" w:sz="0" w:space="0" w:color="auto"/>
                                    <w:bottom w:val="none" w:sz="0" w:space="0" w:color="auto"/>
                                    <w:right w:val="none" w:sz="0" w:space="0" w:color="auto"/>
                                  </w:divBdr>
                                </w:div>
                                <w:div w:id="260063760">
                                  <w:marLeft w:val="0"/>
                                  <w:marRight w:val="0"/>
                                  <w:marTop w:val="0"/>
                                  <w:marBottom w:val="0"/>
                                  <w:divBdr>
                                    <w:top w:val="none" w:sz="0" w:space="0" w:color="auto"/>
                                    <w:left w:val="none" w:sz="0" w:space="0" w:color="auto"/>
                                    <w:bottom w:val="none" w:sz="0" w:space="0" w:color="auto"/>
                                    <w:right w:val="none" w:sz="0" w:space="0" w:color="auto"/>
                                  </w:divBdr>
                                </w:div>
                                <w:div w:id="26950250">
                                  <w:marLeft w:val="0"/>
                                  <w:marRight w:val="0"/>
                                  <w:marTop w:val="0"/>
                                  <w:marBottom w:val="0"/>
                                  <w:divBdr>
                                    <w:top w:val="none" w:sz="0" w:space="0" w:color="auto"/>
                                    <w:left w:val="none" w:sz="0" w:space="0" w:color="auto"/>
                                    <w:bottom w:val="none" w:sz="0" w:space="0" w:color="auto"/>
                                    <w:right w:val="none" w:sz="0" w:space="0" w:color="auto"/>
                                  </w:divBdr>
                                  <w:divsChild>
                                    <w:div w:id="1877883611">
                                      <w:marLeft w:val="0"/>
                                      <w:marRight w:val="0"/>
                                      <w:marTop w:val="0"/>
                                      <w:marBottom w:val="0"/>
                                      <w:divBdr>
                                        <w:top w:val="none" w:sz="0" w:space="0" w:color="auto"/>
                                        <w:left w:val="none" w:sz="0" w:space="0" w:color="auto"/>
                                        <w:bottom w:val="none" w:sz="0" w:space="0" w:color="auto"/>
                                        <w:right w:val="none" w:sz="0" w:space="0" w:color="auto"/>
                                      </w:divBdr>
                                    </w:div>
                                    <w:div w:id="1925413405">
                                      <w:marLeft w:val="0"/>
                                      <w:marRight w:val="0"/>
                                      <w:marTop w:val="0"/>
                                      <w:marBottom w:val="0"/>
                                      <w:divBdr>
                                        <w:top w:val="none" w:sz="0" w:space="0" w:color="auto"/>
                                        <w:left w:val="none" w:sz="0" w:space="0" w:color="auto"/>
                                        <w:bottom w:val="none" w:sz="0" w:space="0" w:color="auto"/>
                                        <w:right w:val="none" w:sz="0" w:space="0" w:color="auto"/>
                                      </w:divBdr>
                                    </w:div>
                                    <w:div w:id="1390810363">
                                      <w:marLeft w:val="0"/>
                                      <w:marRight w:val="0"/>
                                      <w:marTop w:val="0"/>
                                      <w:marBottom w:val="0"/>
                                      <w:divBdr>
                                        <w:top w:val="none" w:sz="0" w:space="0" w:color="auto"/>
                                        <w:left w:val="none" w:sz="0" w:space="0" w:color="auto"/>
                                        <w:bottom w:val="none" w:sz="0" w:space="0" w:color="auto"/>
                                        <w:right w:val="none" w:sz="0" w:space="0" w:color="auto"/>
                                      </w:divBdr>
                                    </w:div>
                                    <w:div w:id="2010062409">
                                      <w:marLeft w:val="0"/>
                                      <w:marRight w:val="0"/>
                                      <w:marTop w:val="0"/>
                                      <w:marBottom w:val="0"/>
                                      <w:divBdr>
                                        <w:top w:val="none" w:sz="0" w:space="0" w:color="auto"/>
                                        <w:left w:val="none" w:sz="0" w:space="0" w:color="auto"/>
                                        <w:bottom w:val="none" w:sz="0" w:space="0" w:color="auto"/>
                                        <w:right w:val="none" w:sz="0" w:space="0" w:color="auto"/>
                                      </w:divBdr>
                                    </w:div>
                                    <w:div w:id="1438525262">
                                      <w:marLeft w:val="0"/>
                                      <w:marRight w:val="0"/>
                                      <w:marTop w:val="0"/>
                                      <w:marBottom w:val="0"/>
                                      <w:divBdr>
                                        <w:top w:val="none" w:sz="0" w:space="0" w:color="auto"/>
                                        <w:left w:val="none" w:sz="0" w:space="0" w:color="auto"/>
                                        <w:bottom w:val="none" w:sz="0" w:space="0" w:color="auto"/>
                                        <w:right w:val="none" w:sz="0" w:space="0" w:color="auto"/>
                                      </w:divBdr>
                                    </w:div>
                                    <w:div w:id="2046365840">
                                      <w:marLeft w:val="0"/>
                                      <w:marRight w:val="0"/>
                                      <w:marTop w:val="0"/>
                                      <w:marBottom w:val="0"/>
                                      <w:divBdr>
                                        <w:top w:val="none" w:sz="0" w:space="0" w:color="auto"/>
                                        <w:left w:val="none" w:sz="0" w:space="0" w:color="auto"/>
                                        <w:bottom w:val="none" w:sz="0" w:space="0" w:color="auto"/>
                                        <w:right w:val="none" w:sz="0" w:space="0" w:color="auto"/>
                                      </w:divBdr>
                                    </w:div>
                                    <w:div w:id="1806700752">
                                      <w:marLeft w:val="0"/>
                                      <w:marRight w:val="0"/>
                                      <w:marTop w:val="0"/>
                                      <w:marBottom w:val="0"/>
                                      <w:divBdr>
                                        <w:top w:val="none" w:sz="0" w:space="0" w:color="auto"/>
                                        <w:left w:val="none" w:sz="0" w:space="0" w:color="auto"/>
                                        <w:bottom w:val="none" w:sz="0" w:space="0" w:color="auto"/>
                                        <w:right w:val="none" w:sz="0" w:space="0" w:color="auto"/>
                                      </w:divBdr>
                                    </w:div>
                                    <w:div w:id="369500812">
                                      <w:marLeft w:val="0"/>
                                      <w:marRight w:val="0"/>
                                      <w:marTop w:val="0"/>
                                      <w:marBottom w:val="0"/>
                                      <w:divBdr>
                                        <w:top w:val="none" w:sz="0" w:space="0" w:color="auto"/>
                                        <w:left w:val="none" w:sz="0" w:space="0" w:color="auto"/>
                                        <w:bottom w:val="none" w:sz="0" w:space="0" w:color="auto"/>
                                        <w:right w:val="none" w:sz="0" w:space="0" w:color="auto"/>
                                      </w:divBdr>
                                    </w:div>
                                    <w:div w:id="1973518317">
                                      <w:marLeft w:val="0"/>
                                      <w:marRight w:val="0"/>
                                      <w:marTop w:val="0"/>
                                      <w:marBottom w:val="0"/>
                                      <w:divBdr>
                                        <w:top w:val="none" w:sz="0" w:space="0" w:color="auto"/>
                                        <w:left w:val="none" w:sz="0" w:space="0" w:color="auto"/>
                                        <w:bottom w:val="none" w:sz="0" w:space="0" w:color="auto"/>
                                        <w:right w:val="none" w:sz="0" w:space="0" w:color="auto"/>
                                      </w:divBdr>
                                    </w:div>
                                    <w:div w:id="1736471630">
                                      <w:marLeft w:val="0"/>
                                      <w:marRight w:val="0"/>
                                      <w:marTop w:val="0"/>
                                      <w:marBottom w:val="0"/>
                                      <w:divBdr>
                                        <w:top w:val="none" w:sz="0" w:space="0" w:color="auto"/>
                                        <w:left w:val="none" w:sz="0" w:space="0" w:color="auto"/>
                                        <w:bottom w:val="none" w:sz="0" w:space="0" w:color="auto"/>
                                        <w:right w:val="none" w:sz="0" w:space="0" w:color="auto"/>
                                      </w:divBdr>
                                    </w:div>
                                    <w:div w:id="221645418">
                                      <w:marLeft w:val="0"/>
                                      <w:marRight w:val="0"/>
                                      <w:marTop w:val="0"/>
                                      <w:marBottom w:val="0"/>
                                      <w:divBdr>
                                        <w:top w:val="none" w:sz="0" w:space="0" w:color="auto"/>
                                        <w:left w:val="none" w:sz="0" w:space="0" w:color="auto"/>
                                        <w:bottom w:val="none" w:sz="0" w:space="0" w:color="auto"/>
                                        <w:right w:val="none" w:sz="0" w:space="0" w:color="auto"/>
                                      </w:divBdr>
                                    </w:div>
                                    <w:div w:id="131096547">
                                      <w:marLeft w:val="0"/>
                                      <w:marRight w:val="0"/>
                                      <w:marTop w:val="0"/>
                                      <w:marBottom w:val="0"/>
                                      <w:divBdr>
                                        <w:top w:val="none" w:sz="0" w:space="0" w:color="auto"/>
                                        <w:left w:val="none" w:sz="0" w:space="0" w:color="auto"/>
                                        <w:bottom w:val="none" w:sz="0" w:space="0" w:color="auto"/>
                                        <w:right w:val="none" w:sz="0" w:space="0" w:color="auto"/>
                                      </w:divBdr>
                                    </w:div>
                                    <w:div w:id="528374562">
                                      <w:marLeft w:val="0"/>
                                      <w:marRight w:val="0"/>
                                      <w:marTop w:val="0"/>
                                      <w:marBottom w:val="0"/>
                                      <w:divBdr>
                                        <w:top w:val="none" w:sz="0" w:space="0" w:color="auto"/>
                                        <w:left w:val="none" w:sz="0" w:space="0" w:color="auto"/>
                                        <w:bottom w:val="none" w:sz="0" w:space="0" w:color="auto"/>
                                        <w:right w:val="none" w:sz="0" w:space="0" w:color="auto"/>
                                      </w:divBdr>
                                    </w:div>
                                    <w:div w:id="1551308311">
                                      <w:marLeft w:val="0"/>
                                      <w:marRight w:val="0"/>
                                      <w:marTop w:val="0"/>
                                      <w:marBottom w:val="0"/>
                                      <w:divBdr>
                                        <w:top w:val="none" w:sz="0" w:space="0" w:color="auto"/>
                                        <w:left w:val="none" w:sz="0" w:space="0" w:color="auto"/>
                                        <w:bottom w:val="none" w:sz="0" w:space="0" w:color="auto"/>
                                        <w:right w:val="none" w:sz="0" w:space="0" w:color="auto"/>
                                      </w:divBdr>
                                    </w:div>
                                    <w:div w:id="1885941848">
                                      <w:marLeft w:val="0"/>
                                      <w:marRight w:val="0"/>
                                      <w:marTop w:val="0"/>
                                      <w:marBottom w:val="0"/>
                                      <w:divBdr>
                                        <w:top w:val="none" w:sz="0" w:space="0" w:color="auto"/>
                                        <w:left w:val="none" w:sz="0" w:space="0" w:color="auto"/>
                                        <w:bottom w:val="none" w:sz="0" w:space="0" w:color="auto"/>
                                        <w:right w:val="none" w:sz="0" w:space="0" w:color="auto"/>
                                      </w:divBdr>
                                    </w:div>
                                    <w:div w:id="983852753">
                                      <w:marLeft w:val="0"/>
                                      <w:marRight w:val="0"/>
                                      <w:marTop w:val="0"/>
                                      <w:marBottom w:val="0"/>
                                      <w:divBdr>
                                        <w:top w:val="none" w:sz="0" w:space="0" w:color="auto"/>
                                        <w:left w:val="none" w:sz="0" w:space="0" w:color="auto"/>
                                        <w:bottom w:val="none" w:sz="0" w:space="0" w:color="auto"/>
                                        <w:right w:val="none" w:sz="0" w:space="0" w:color="auto"/>
                                      </w:divBdr>
                                    </w:div>
                                    <w:div w:id="1944922191">
                                      <w:marLeft w:val="0"/>
                                      <w:marRight w:val="0"/>
                                      <w:marTop w:val="0"/>
                                      <w:marBottom w:val="0"/>
                                      <w:divBdr>
                                        <w:top w:val="none" w:sz="0" w:space="0" w:color="auto"/>
                                        <w:left w:val="none" w:sz="0" w:space="0" w:color="auto"/>
                                        <w:bottom w:val="none" w:sz="0" w:space="0" w:color="auto"/>
                                        <w:right w:val="none" w:sz="0" w:space="0" w:color="auto"/>
                                      </w:divBdr>
                                    </w:div>
                                    <w:div w:id="93213012">
                                      <w:marLeft w:val="0"/>
                                      <w:marRight w:val="0"/>
                                      <w:marTop w:val="0"/>
                                      <w:marBottom w:val="0"/>
                                      <w:divBdr>
                                        <w:top w:val="none" w:sz="0" w:space="0" w:color="auto"/>
                                        <w:left w:val="none" w:sz="0" w:space="0" w:color="auto"/>
                                        <w:bottom w:val="none" w:sz="0" w:space="0" w:color="auto"/>
                                        <w:right w:val="none" w:sz="0" w:space="0" w:color="auto"/>
                                      </w:divBdr>
                                    </w:div>
                                    <w:div w:id="718238071">
                                      <w:marLeft w:val="0"/>
                                      <w:marRight w:val="0"/>
                                      <w:marTop w:val="0"/>
                                      <w:marBottom w:val="0"/>
                                      <w:divBdr>
                                        <w:top w:val="none" w:sz="0" w:space="0" w:color="auto"/>
                                        <w:left w:val="none" w:sz="0" w:space="0" w:color="auto"/>
                                        <w:bottom w:val="none" w:sz="0" w:space="0" w:color="auto"/>
                                        <w:right w:val="none" w:sz="0" w:space="0" w:color="auto"/>
                                      </w:divBdr>
                                    </w:div>
                                    <w:div w:id="217593213">
                                      <w:marLeft w:val="0"/>
                                      <w:marRight w:val="0"/>
                                      <w:marTop w:val="0"/>
                                      <w:marBottom w:val="0"/>
                                      <w:divBdr>
                                        <w:top w:val="none" w:sz="0" w:space="0" w:color="auto"/>
                                        <w:left w:val="none" w:sz="0" w:space="0" w:color="auto"/>
                                        <w:bottom w:val="none" w:sz="0" w:space="0" w:color="auto"/>
                                        <w:right w:val="none" w:sz="0" w:space="0" w:color="auto"/>
                                      </w:divBdr>
                                    </w:div>
                                    <w:div w:id="136649397">
                                      <w:marLeft w:val="0"/>
                                      <w:marRight w:val="0"/>
                                      <w:marTop w:val="0"/>
                                      <w:marBottom w:val="0"/>
                                      <w:divBdr>
                                        <w:top w:val="none" w:sz="0" w:space="0" w:color="auto"/>
                                        <w:left w:val="none" w:sz="0" w:space="0" w:color="auto"/>
                                        <w:bottom w:val="none" w:sz="0" w:space="0" w:color="auto"/>
                                        <w:right w:val="none" w:sz="0" w:space="0" w:color="auto"/>
                                      </w:divBdr>
                                    </w:div>
                                    <w:div w:id="311520610">
                                      <w:marLeft w:val="0"/>
                                      <w:marRight w:val="0"/>
                                      <w:marTop w:val="0"/>
                                      <w:marBottom w:val="0"/>
                                      <w:divBdr>
                                        <w:top w:val="none" w:sz="0" w:space="0" w:color="auto"/>
                                        <w:left w:val="none" w:sz="0" w:space="0" w:color="auto"/>
                                        <w:bottom w:val="none" w:sz="0" w:space="0" w:color="auto"/>
                                        <w:right w:val="none" w:sz="0" w:space="0" w:color="auto"/>
                                      </w:divBdr>
                                    </w:div>
                                    <w:div w:id="1597207013">
                                      <w:marLeft w:val="0"/>
                                      <w:marRight w:val="0"/>
                                      <w:marTop w:val="0"/>
                                      <w:marBottom w:val="0"/>
                                      <w:divBdr>
                                        <w:top w:val="none" w:sz="0" w:space="0" w:color="auto"/>
                                        <w:left w:val="none" w:sz="0" w:space="0" w:color="auto"/>
                                        <w:bottom w:val="none" w:sz="0" w:space="0" w:color="auto"/>
                                        <w:right w:val="none" w:sz="0" w:space="0" w:color="auto"/>
                                      </w:divBdr>
                                    </w:div>
                                    <w:div w:id="43869220">
                                      <w:marLeft w:val="0"/>
                                      <w:marRight w:val="0"/>
                                      <w:marTop w:val="0"/>
                                      <w:marBottom w:val="0"/>
                                      <w:divBdr>
                                        <w:top w:val="none" w:sz="0" w:space="0" w:color="auto"/>
                                        <w:left w:val="none" w:sz="0" w:space="0" w:color="auto"/>
                                        <w:bottom w:val="none" w:sz="0" w:space="0" w:color="auto"/>
                                        <w:right w:val="none" w:sz="0" w:space="0" w:color="auto"/>
                                      </w:divBdr>
                                    </w:div>
                                    <w:div w:id="1548712507">
                                      <w:marLeft w:val="0"/>
                                      <w:marRight w:val="0"/>
                                      <w:marTop w:val="0"/>
                                      <w:marBottom w:val="0"/>
                                      <w:divBdr>
                                        <w:top w:val="none" w:sz="0" w:space="0" w:color="auto"/>
                                        <w:left w:val="none" w:sz="0" w:space="0" w:color="auto"/>
                                        <w:bottom w:val="none" w:sz="0" w:space="0" w:color="auto"/>
                                        <w:right w:val="none" w:sz="0" w:space="0" w:color="auto"/>
                                      </w:divBdr>
                                    </w:div>
                                    <w:div w:id="1349865234">
                                      <w:marLeft w:val="0"/>
                                      <w:marRight w:val="0"/>
                                      <w:marTop w:val="0"/>
                                      <w:marBottom w:val="0"/>
                                      <w:divBdr>
                                        <w:top w:val="none" w:sz="0" w:space="0" w:color="auto"/>
                                        <w:left w:val="none" w:sz="0" w:space="0" w:color="auto"/>
                                        <w:bottom w:val="none" w:sz="0" w:space="0" w:color="auto"/>
                                        <w:right w:val="none" w:sz="0" w:space="0" w:color="auto"/>
                                      </w:divBdr>
                                    </w:div>
                                    <w:div w:id="138309240">
                                      <w:marLeft w:val="0"/>
                                      <w:marRight w:val="0"/>
                                      <w:marTop w:val="0"/>
                                      <w:marBottom w:val="0"/>
                                      <w:divBdr>
                                        <w:top w:val="none" w:sz="0" w:space="0" w:color="auto"/>
                                        <w:left w:val="none" w:sz="0" w:space="0" w:color="auto"/>
                                        <w:bottom w:val="none" w:sz="0" w:space="0" w:color="auto"/>
                                        <w:right w:val="none" w:sz="0" w:space="0" w:color="auto"/>
                                      </w:divBdr>
                                    </w:div>
                                    <w:div w:id="233467059">
                                      <w:marLeft w:val="0"/>
                                      <w:marRight w:val="0"/>
                                      <w:marTop w:val="0"/>
                                      <w:marBottom w:val="0"/>
                                      <w:divBdr>
                                        <w:top w:val="none" w:sz="0" w:space="0" w:color="auto"/>
                                        <w:left w:val="none" w:sz="0" w:space="0" w:color="auto"/>
                                        <w:bottom w:val="none" w:sz="0" w:space="0" w:color="auto"/>
                                        <w:right w:val="none" w:sz="0" w:space="0" w:color="auto"/>
                                      </w:divBdr>
                                    </w:div>
                                    <w:div w:id="831800561">
                                      <w:marLeft w:val="0"/>
                                      <w:marRight w:val="0"/>
                                      <w:marTop w:val="0"/>
                                      <w:marBottom w:val="0"/>
                                      <w:divBdr>
                                        <w:top w:val="none" w:sz="0" w:space="0" w:color="auto"/>
                                        <w:left w:val="none" w:sz="0" w:space="0" w:color="auto"/>
                                        <w:bottom w:val="none" w:sz="0" w:space="0" w:color="auto"/>
                                        <w:right w:val="none" w:sz="0" w:space="0" w:color="auto"/>
                                      </w:divBdr>
                                    </w:div>
                                    <w:div w:id="1955360156">
                                      <w:marLeft w:val="0"/>
                                      <w:marRight w:val="0"/>
                                      <w:marTop w:val="0"/>
                                      <w:marBottom w:val="0"/>
                                      <w:divBdr>
                                        <w:top w:val="none" w:sz="0" w:space="0" w:color="auto"/>
                                        <w:left w:val="none" w:sz="0" w:space="0" w:color="auto"/>
                                        <w:bottom w:val="none" w:sz="0" w:space="0" w:color="auto"/>
                                        <w:right w:val="none" w:sz="0" w:space="0" w:color="auto"/>
                                      </w:divBdr>
                                    </w:div>
                                    <w:div w:id="822163049">
                                      <w:marLeft w:val="0"/>
                                      <w:marRight w:val="0"/>
                                      <w:marTop w:val="0"/>
                                      <w:marBottom w:val="0"/>
                                      <w:divBdr>
                                        <w:top w:val="none" w:sz="0" w:space="0" w:color="auto"/>
                                        <w:left w:val="none" w:sz="0" w:space="0" w:color="auto"/>
                                        <w:bottom w:val="none" w:sz="0" w:space="0" w:color="auto"/>
                                        <w:right w:val="none" w:sz="0" w:space="0" w:color="auto"/>
                                      </w:divBdr>
                                    </w:div>
                                    <w:div w:id="48848283">
                                      <w:marLeft w:val="0"/>
                                      <w:marRight w:val="0"/>
                                      <w:marTop w:val="0"/>
                                      <w:marBottom w:val="0"/>
                                      <w:divBdr>
                                        <w:top w:val="none" w:sz="0" w:space="0" w:color="auto"/>
                                        <w:left w:val="none" w:sz="0" w:space="0" w:color="auto"/>
                                        <w:bottom w:val="none" w:sz="0" w:space="0" w:color="auto"/>
                                        <w:right w:val="none" w:sz="0" w:space="0" w:color="auto"/>
                                      </w:divBdr>
                                    </w:div>
                                    <w:div w:id="620452450">
                                      <w:marLeft w:val="0"/>
                                      <w:marRight w:val="0"/>
                                      <w:marTop w:val="0"/>
                                      <w:marBottom w:val="0"/>
                                      <w:divBdr>
                                        <w:top w:val="none" w:sz="0" w:space="0" w:color="auto"/>
                                        <w:left w:val="none" w:sz="0" w:space="0" w:color="auto"/>
                                        <w:bottom w:val="none" w:sz="0" w:space="0" w:color="auto"/>
                                        <w:right w:val="none" w:sz="0" w:space="0" w:color="auto"/>
                                      </w:divBdr>
                                    </w:div>
                                  </w:divsChild>
                                </w:div>
                                <w:div w:id="382289872">
                                  <w:marLeft w:val="0"/>
                                  <w:marRight w:val="0"/>
                                  <w:marTop w:val="0"/>
                                  <w:marBottom w:val="0"/>
                                  <w:divBdr>
                                    <w:top w:val="none" w:sz="0" w:space="0" w:color="auto"/>
                                    <w:left w:val="none" w:sz="0" w:space="0" w:color="auto"/>
                                    <w:bottom w:val="none" w:sz="0" w:space="0" w:color="auto"/>
                                    <w:right w:val="none" w:sz="0" w:space="0" w:color="auto"/>
                                  </w:divBdr>
                                </w:div>
                                <w:div w:id="365059701">
                                  <w:marLeft w:val="0"/>
                                  <w:marRight w:val="0"/>
                                  <w:marTop w:val="0"/>
                                  <w:marBottom w:val="0"/>
                                  <w:divBdr>
                                    <w:top w:val="none" w:sz="0" w:space="0" w:color="auto"/>
                                    <w:left w:val="none" w:sz="0" w:space="0" w:color="auto"/>
                                    <w:bottom w:val="none" w:sz="0" w:space="0" w:color="auto"/>
                                    <w:right w:val="none" w:sz="0" w:space="0" w:color="auto"/>
                                  </w:divBdr>
                                </w:div>
                                <w:div w:id="1227649634">
                                  <w:marLeft w:val="0"/>
                                  <w:marRight w:val="0"/>
                                  <w:marTop w:val="0"/>
                                  <w:marBottom w:val="0"/>
                                  <w:divBdr>
                                    <w:top w:val="none" w:sz="0" w:space="0" w:color="auto"/>
                                    <w:left w:val="none" w:sz="0" w:space="0" w:color="auto"/>
                                    <w:bottom w:val="none" w:sz="0" w:space="0" w:color="auto"/>
                                    <w:right w:val="none" w:sz="0" w:space="0" w:color="auto"/>
                                  </w:divBdr>
                                </w:div>
                                <w:div w:id="1050810053">
                                  <w:marLeft w:val="0"/>
                                  <w:marRight w:val="0"/>
                                  <w:marTop w:val="0"/>
                                  <w:marBottom w:val="0"/>
                                  <w:divBdr>
                                    <w:top w:val="none" w:sz="0" w:space="0" w:color="auto"/>
                                    <w:left w:val="none" w:sz="0" w:space="0" w:color="auto"/>
                                    <w:bottom w:val="none" w:sz="0" w:space="0" w:color="auto"/>
                                    <w:right w:val="none" w:sz="0" w:space="0" w:color="auto"/>
                                  </w:divBdr>
                                </w:div>
                                <w:div w:id="166949539">
                                  <w:marLeft w:val="0"/>
                                  <w:marRight w:val="0"/>
                                  <w:marTop w:val="0"/>
                                  <w:marBottom w:val="0"/>
                                  <w:divBdr>
                                    <w:top w:val="none" w:sz="0" w:space="0" w:color="auto"/>
                                    <w:left w:val="none" w:sz="0" w:space="0" w:color="auto"/>
                                    <w:bottom w:val="none" w:sz="0" w:space="0" w:color="auto"/>
                                    <w:right w:val="none" w:sz="0" w:space="0" w:color="auto"/>
                                  </w:divBdr>
                                </w:div>
                                <w:div w:id="197861235">
                                  <w:marLeft w:val="0"/>
                                  <w:marRight w:val="0"/>
                                  <w:marTop w:val="0"/>
                                  <w:marBottom w:val="0"/>
                                  <w:divBdr>
                                    <w:top w:val="none" w:sz="0" w:space="0" w:color="auto"/>
                                    <w:left w:val="none" w:sz="0" w:space="0" w:color="auto"/>
                                    <w:bottom w:val="none" w:sz="0" w:space="0" w:color="auto"/>
                                    <w:right w:val="none" w:sz="0" w:space="0" w:color="auto"/>
                                  </w:divBdr>
                                </w:div>
                                <w:div w:id="82188188">
                                  <w:marLeft w:val="0"/>
                                  <w:marRight w:val="0"/>
                                  <w:marTop w:val="0"/>
                                  <w:marBottom w:val="0"/>
                                  <w:divBdr>
                                    <w:top w:val="none" w:sz="0" w:space="0" w:color="auto"/>
                                    <w:left w:val="none" w:sz="0" w:space="0" w:color="auto"/>
                                    <w:bottom w:val="none" w:sz="0" w:space="0" w:color="auto"/>
                                    <w:right w:val="none" w:sz="0" w:space="0" w:color="auto"/>
                                  </w:divBdr>
                                </w:div>
                                <w:div w:id="1362123330">
                                  <w:marLeft w:val="0"/>
                                  <w:marRight w:val="0"/>
                                  <w:marTop w:val="0"/>
                                  <w:marBottom w:val="0"/>
                                  <w:divBdr>
                                    <w:top w:val="none" w:sz="0" w:space="0" w:color="auto"/>
                                    <w:left w:val="none" w:sz="0" w:space="0" w:color="auto"/>
                                    <w:bottom w:val="none" w:sz="0" w:space="0" w:color="auto"/>
                                    <w:right w:val="none" w:sz="0" w:space="0" w:color="auto"/>
                                  </w:divBdr>
                                </w:div>
                                <w:div w:id="660931201">
                                  <w:marLeft w:val="0"/>
                                  <w:marRight w:val="0"/>
                                  <w:marTop w:val="0"/>
                                  <w:marBottom w:val="0"/>
                                  <w:divBdr>
                                    <w:top w:val="none" w:sz="0" w:space="0" w:color="auto"/>
                                    <w:left w:val="none" w:sz="0" w:space="0" w:color="auto"/>
                                    <w:bottom w:val="none" w:sz="0" w:space="0" w:color="auto"/>
                                    <w:right w:val="none" w:sz="0" w:space="0" w:color="auto"/>
                                  </w:divBdr>
                                </w:div>
                                <w:div w:id="306322368">
                                  <w:marLeft w:val="0"/>
                                  <w:marRight w:val="0"/>
                                  <w:marTop w:val="0"/>
                                  <w:marBottom w:val="0"/>
                                  <w:divBdr>
                                    <w:top w:val="none" w:sz="0" w:space="0" w:color="auto"/>
                                    <w:left w:val="none" w:sz="0" w:space="0" w:color="auto"/>
                                    <w:bottom w:val="none" w:sz="0" w:space="0" w:color="auto"/>
                                    <w:right w:val="none" w:sz="0" w:space="0" w:color="auto"/>
                                  </w:divBdr>
                                </w:div>
                                <w:div w:id="655959964">
                                  <w:marLeft w:val="0"/>
                                  <w:marRight w:val="0"/>
                                  <w:marTop w:val="0"/>
                                  <w:marBottom w:val="0"/>
                                  <w:divBdr>
                                    <w:top w:val="none" w:sz="0" w:space="0" w:color="auto"/>
                                    <w:left w:val="none" w:sz="0" w:space="0" w:color="auto"/>
                                    <w:bottom w:val="none" w:sz="0" w:space="0" w:color="auto"/>
                                    <w:right w:val="none" w:sz="0" w:space="0" w:color="auto"/>
                                  </w:divBdr>
                                </w:div>
                                <w:div w:id="218054983">
                                  <w:marLeft w:val="0"/>
                                  <w:marRight w:val="0"/>
                                  <w:marTop w:val="0"/>
                                  <w:marBottom w:val="0"/>
                                  <w:divBdr>
                                    <w:top w:val="none" w:sz="0" w:space="0" w:color="auto"/>
                                    <w:left w:val="none" w:sz="0" w:space="0" w:color="auto"/>
                                    <w:bottom w:val="none" w:sz="0" w:space="0" w:color="auto"/>
                                    <w:right w:val="none" w:sz="0" w:space="0" w:color="auto"/>
                                  </w:divBdr>
                                </w:div>
                                <w:div w:id="1307011955">
                                  <w:marLeft w:val="0"/>
                                  <w:marRight w:val="0"/>
                                  <w:marTop w:val="0"/>
                                  <w:marBottom w:val="0"/>
                                  <w:divBdr>
                                    <w:top w:val="none" w:sz="0" w:space="0" w:color="auto"/>
                                    <w:left w:val="none" w:sz="0" w:space="0" w:color="auto"/>
                                    <w:bottom w:val="none" w:sz="0" w:space="0" w:color="auto"/>
                                    <w:right w:val="none" w:sz="0" w:space="0" w:color="auto"/>
                                  </w:divBdr>
                                </w:div>
                                <w:div w:id="1130899626">
                                  <w:marLeft w:val="0"/>
                                  <w:marRight w:val="0"/>
                                  <w:marTop w:val="0"/>
                                  <w:marBottom w:val="0"/>
                                  <w:divBdr>
                                    <w:top w:val="none" w:sz="0" w:space="0" w:color="auto"/>
                                    <w:left w:val="none" w:sz="0" w:space="0" w:color="auto"/>
                                    <w:bottom w:val="none" w:sz="0" w:space="0" w:color="auto"/>
                                    <w:right w:val="none" w:sz="0" w:space="0" w:color="auto"/>
                                  </w:divBdr>
                                </w:div>
                                <w:div w:id="210657120">
                                  <w:marLeft w:val="0"/>
                                  <w:marRight w:val="0"/>
                                  <w:marTop w:val="0"/>
                                  <w:marBottom w:val="0"/>
                                  <w:divBdr>
                                    <w:top w:val="none" w:sz="0" w:space="0" w:color="auto"/>
                                    <w:left w:val="none" w:sz="0" w:space="0" w:color="auto"/>
                                    <w:bottom w:val="none" w:sz="0" w:space="0" w:color="auto"/>
                                    <w:right w:val="none" w:sz="0" w:space="0" w:color="auto"/>
                                  </w:divBdr>
                                </w:div>
                                <w:div w:id="100145357">
                                  <w:marLeft w:val="0"/>
                                  <w:marRight w:val="0"/>
                                  <w:marTop w:val="0"/>
                                  <w:marBottom w:val="0"/>
                                  <w:divBdr>
                                    <w:top w:val="none" w:sz="0" w:space="0" w:color="auto"/>
                                    <w:left w:val="none" w:sz="0" w:space="0" w:color="auto"/>
                                    <w:bottom w:val="none" w:sz="0" w:space="0" w:color="auto"/>
                                    <w:right w:val="none" w:sz="0" w:space="0" w:color="auto"/>
                                  </w:divBdr>
                                </w:div>
                                <w:div w:id="263077375">
                                  <w:marLeft w:val="0"/>
                                  <w:marRight w:val="0"/>
                                  <w:marTop w:val="0"/>
                                  <w:marBottom w:val="0"/>
                                  <w:divBdr>
                                    <w:top w:val="none" w:sz="0" w:space="0" w:color="auto"/>
                                    <w:left w:val="none" w:sz="0" w:space="0" w:color="auto"/>
                                    <w:bottom w:val="none" w:sz="0" w:space="0" w:color="auto"/>
                                    <w:right w:val="none" w:sz="0" w:space="0" w:color="auto"/>
                                  </w:divBdr>
                                </w:div>
                                <w:div w:id="1727600968">
                                  <w:marLeft w:val="0"/>
                                  <w:marRight w:val="0"/>
                                  <w:marTop w:val="0"/>
                                  <w:marBottom w:val="0"/>
                                  <w:divBdr>
                                    <w:top w:val="none" w:sz="0" w:space="0" w:color="auto"/>
                                    <w:left w:val="none" w:sz="0" w:space="0" w:color="auto"/>
                                    <w:bottom w:val="none" w:sz="0" w:space="0" w:color="auto"/>
                                    <w:right w:val="none" w:sz="0" w:space="0" w:color="auto"/>
                                  </w:divBdr>
                                </w:div>
                                <w:div w:id="1829324110">
                                  <w:marLeft w:val="0"/>
                                  <w:marRight w:val="0"/>
                                  <w:marTop w:val="0"/>
                                  <w:marBottom w:val="0"/>
                                  <w:divBdr>
                                    <w:top w:val="none" w:sz="0" w:space="0" w:color="auto"/>
                                    <w:left w:val="none" w:sz="0" w:space="0" w:color="auto"/>
                                    <w:bottom w:val="none" w:sz="0" w:space="0" w:color="auto"/>
                                    <w:right w:val="none" w:sz="0" w:space="0" w:color="auto"/>
                                  </w:divBdr>
                                </w:div>
                                <w:div w:id="1727102259">
                                  <w:marLeft w:val="0"/>
                                  <w:marRight w:val="0"/>
                                  <w:marTop w:val="0"/>
                                  <w:marBottom w:val="0"/>
                                  <w:divBdr>
                                    <w:top w:val="none" w:sz="0" w:space="0" w:color="auto"/>
                                    <w:left w:val="none" w:sz="0" w:space="0" w:color="auto"/>
                                    <w:bottom w:val="none" w:sz="0" w:space="0" w:color="auto"/>
                                    <w:right w:val="none" w:sz="0" w:space="0" w:color="auto"/>
                                  </w:divBdr>
                                </w:div>
                                <w:div w:id="852651735">
                                  <w:marLeft w:val="0"/>
                                  <w:marRight w:val="0"/>
                                  <w:marTop w:val="0"/>
                                  <w:marBottom w:val="0"/>
                                  <w:divBdr>
                                    <w:top w:val="none" w:sz="0" w:space="0" w:color="auto"/>
                                    <w:left w:val="none" w:sz="0" w:space="0" w:color="auto"/>
                                    <w:bottom w:val="none" w:sz="0" w:space="0" w:color="auto"/>
                                    <w:right w:val="none" w:sz="0" w:space="0" w:color="auto"/>
                                  </w:divBdr>
                                </w:div>
                                <w:div w:id="1437364733">
                                  <w:marLeft w:val="0"/>
                                  <w:marRight w:val="0"/>
                                  <w:marTop w:val="0"/>
                                  <w:marBottom w:val="0"/>
                                  <w:divBdr>
                                    <w:top w:val="none" w:sz="0" w:space="0" w:color="auto"/>
                                    <w:left w:val="none" w:sz="0" w:space="0" w:color="auto"/>
                                    <w:bottom w:val="none" w:sz="0" w:space="0" w:color="auto"/>
                                    <w:right w:val="none" w:sz="0" w:space="0" w:color="auto"/>
                                  </w:divBdr>
                                </w:div>
                                <w:div w:id="310642620">
                                  <w:marLeft w:val="0"/>
                                  <w:marRight w:val="0"/>
                                  <w:marTop w:val="0"/>
                                  <w:marBottom w:val="0"/>
                                  <w:divBdr>
                                    <w:top w:val="none" w:sz="0" w:space="0" w:color="auto"/>
                                    <w:left w:val="none" w:sz="0" w:space="0" w:color="auto"/>
                                    <w:bottom w:val="none" w:sz="0" w:space="0" w:color="auto"/>
                                    <w:right w:val="none" w:sz="0" w:space="0" w:color="auto"/>
                                  </w:divBdr>
                                </w:div>
                                <w:div w:id="1024088613">
                                  <w:marLeft w:val="0"/>
                                  <w:marRight w:val="0"/>
                                  <w:marTop w:val="0"/>
                                  <w:marBottom w:val="0"/>
                                  <w:divBdr>
                                    <w:top w:val="none" w:sz="0" w:space="0" w:color="auto"/>
                                    <w:left w:val="none" w:sz="0" w:space="0" w:color="auto"/>
                                    <w:bottom w:val="none" w:sz="0" w:space="0" w:color="auto"/>
                                    <w:right w:val="none" w:sz="0" w:space="0" w:color="auto"/>
                                  </w:divBdr>
                                </w:div>
                                <w:div w:id="1826816207">
                                  <w:marLeft w:val="0"/>
                                  <w:marRight w:val="0"/>
                                  <w:marTop w:val="0"/>
                                  <w:marBottom w:val="0"/>
                                  <w:divBdr>
                                    <w:top w:val="none" w:sz="0" w:space="0" w:color="auto"/>
                                    <w:left w:val="none" w:sz="0" w:space="0" w:color="auto"/>
                                    <w:bottom w:val="none" w:sz="0" w:space="0" w:color="auto"/>
                                    <w:right w:val="none" w:sz="0" w:space="0" w:color="auto"/>
                                  </w:divBdr>
                                </w:div>
                                <w:div w:id="469320516">
                                  <w:marLeft w:val="0"/>
                                  <w:marRight w:val="0"/>
                                  <w:marTop w:val="0"/>
                                  <w:marBottom w:val="0"/>
                                  <w:divBdr>
                                    <w:top w:val="none" w:sz="0" w:space="0" w:color="auto"/>
                                    <w:left w:val="none" w:sz="0" w:space="0" w:color="auto"/>
                                    <w:bottom w:val="none" w:sz="0" w:space="0" w:color="auto"/>
                                    <w:right w:val="none" w:sz="0" w:space="0" w:color="auto"/>
                                  </w:divBdr>
                                </w:div>
                                <w:div w:id="701252461">
                                  <w:marLeft w:val="0"/>
                                  <w:marRight w:val="0"/>
                                  <w:marTop w:val="0"/>
                                  <w:marBottom w:val="0"/>
                                  <w:divBdr>
                                    <w:top w:val="none" w:sz="0" w:space="0" w:color="auto"/>
                                    <w:left w:val="none" w:sz="0" w:space="0" w:color="auto"/>
                                    <w:bottom w:val="none" w:sz="0" w:space="0" w:color="auto"/>
                                    <w:right w:val="none" w:sz="0" w:space="0" w:color="auto"/>
                                  </w:divBdr>
                                </w:div>
                                <w:div w:id="1516964674">
                                  <w:marLeft w:val="0"/>
                                  <w:marRight w:val="0"/>
                                  <w:marTop w:val="0"/>
                                  <w:marBottom w:val="0"/>
                                  <w:divBdr>
                                    <w:top w:val="none" w:sz="0" w:space="0" w:color="auto"/>
                                    <w:left w:val="none" w:sz="0" w:space="0" w:color="auto"/>
                                    <w:bottom w:val="none" w:sz="0" w:space="0" w:color="auto"/>
                                    <w:right w:val="none" w:sz="0" w:space="0" w:color="auto"/>
                                  </w:divBdr>
                                </w:div>
                                <w:div w:id="1989288041">
                                  <w:marLeft w:val="0"/>
                                  <w:marRight w:val="0"/>
                                  <w:marTop w:val="0"/>
                                  <w:marBottom w:val="0"/>
                                  <w:divBdr>
                                    <w:top w:val="none" w:sz="0" w:space="0" w:color="auto"/>
                                    <w:left w:val="none" w:sz="0" w:space="0" w:color="auto"/>
                                    <w:bottom w:val="none" w:sz="0" w:space="0" w:color="auto"/>
                                    <w:right w:val="none" w:sz="0" w:space="0" w:color="auto"/>
                                  </w:divBdr>
                                </w:div>
                                <w:div w:id="2079592609">
                                  <w:marLeft w:val="0"/>
                                  <w:marRight w:val="0"/>
                                  <w:marTop w:val="0"/>
                                  <w:marBottom w:val="0"/>
                                  <w:divBdr>
                                    <w:top w:val="none" w:sz="0" w:space="0" w:color="auto"/>
                                    <w:left w:val="none" w:sz="0" w:space="0" w:color="auto"/>
                                    <w:bottom w:val="none" w:sz="0" w:space="0" w:color="auto"/>
                                    <w:right w:val="none" w:sz="0" w:space="0" w:color="auto"/>
                                  </w:divBdr>
                                </w:div>
                                <w:div w:id="1970279006">
                                  <w:marLeft w:val="0"/>
                                  <w:marRight w:val="0"/>
                                  <w:marTop w:val="0"/>
                                  <w:marBottom w:val="0"/>
                                  <w:divBdr>
                                    <w:top w:val="none" w:sz="0" w:space="0" w:color="auto"/>
                                    <w:left w:val="none" w:sz="0" w:space="0" w:color="auto"/>
                                    <w:bottom w:val="none" w:sz="0" w:space="0" w:color="auto"/>
                                    <w:right w:val="none" w:sz="0" w:space="0" w:color="auto"/>
                                  </w:divBdr>
                                </w:div>
                                <w:div w:id="505025634">
                                  <w:marLeft w:val="0"/>
                                  <w:marRight w:val="0"/>
                                  <w:marTop w:val="0"/>
                                  <w:marBottom w:val="0"/>
                                  <w:divBdr>
                                    <w:top w:val="none" w:sz="0" w:space="0" w:color="auto"/>
                                    <w:left w:val="none" w:sz="0" w:space="0" w:color="auto"/>
                                    <w:bottom w:val="none" w:sz="0" w:space="0" w:color="auto"/>
                                    <w:right w:val="none" w:sz="0" w:space="0" w:color="auto"/>
                                  </w:divBdr>
                                </w:div>
                                <w:div w:id="237788141">
                                  <w:marLeft w:val="0"/>
                                  <w:marRight w:val="0"/>
                                  <w:marTop w:val="0"/>
                                  <w:marBottom w:val="0"/>
                                  <w:divBdr>
                                    <w:top w:val="none" w:sz="0" w:space="0" w:color="auto"/>
                                    <w:left w:val="none" w:sz="0" w:space="0" w:color="auto"/>
                                    <w:bottom w:val="none" w:sz="0" w:space="0" w:color="auto"/>
                                    <w:right w:val="none" w:sz="0" w:space="0" w:color="auto"/>
                                  </w:divBdr>
                                </w:div>
                                <w:div w:id="973948833">
                                  <w:marLeft w:val="0"/>
                                  <w:marRight w:val="0"/>
                                  <w:marTop w:val="0"/>
                                  <w:marBottom w:val="0"/>
                                  <w:divBdr>
                                    <w:top w:val="none" w:sz="0" w:space="0" w:color="auto"/>
                                    <w:left w:val="none" w:sz="0" w:space="0" w:color="auto"/>
                                    <w:bottom w:val="none" w:sz="0" w:space="0" w:color="auto"/>
                                    <w:right w:val="none" w:sz="0" w:space="0" w:color="auto"/>
                                  </w:divBdr>
                                </w:div>
                                <w:div w:id="20718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065375">
      <w:bodyDiv w:val="1"/>
      <w:marLeft w:val="0"/>
      <w:marRight w:val="0"/>
      <w:marTop w:val="0"/>
      <w:marBottom w:val="0"/>
      <w:divBdr>
        <w:top w:val="none" w:sz="0" w:space="0" w:color="auto"/>
        <w:left w:val="none" w:sz="0" w:space="0" w:color="auto"/>
        <w:bottom w:val="none" w:sz="0" w:space="0" w:color="auto"/>
        <w:right w:val="none" w:sz="0" w:space="0" w:color="auto"/>
      </w:divBdr>
      <w:divsChild>
        <w:div w:id="892887662">
          <w:marLeft w:val="0"/>
          <w:marRight w:val="0"/>
          <w:marTop w:val="0"/>
          <w:marBottom w:val="0"/>
          <w:divBdr>
            <w:top w:val="none" w:sz="0" w:space="0" w:color="auto"/>
            <w:left w:val="none" w:sz="0" w:space="0" w:color="auto"/>
            <w:bottom w:val="none" w:sz="0" w:space="0" w:color="auto"/>
            <w:right w:val="none" w:sz="0" w:space="0" w:color="auto"/>
          </w:divBdr>
          <w:divsChild>
            <w:div w:id="1993177738">
              <w:marLeft w:val="150"/>
              <w:marRight w:val="150"/>
              <w:marTop w:val="0"/>
              <w:marBottom w:val="150"/>
              <w:divBdr>
                <w:top w:val="none" w:sz="0" w:space="0" w:color="auto"/>
                <w:left w:val="none" w:sz="0" w:space="0" w:color="auto"/>
                <w:bottom w:val="none" w:sz="0" w:space="0" w:color="auto"/>
                <w:right w:val="none" w:sz="0" w:space="0" w:color="auto"/>
              </w:divBdr>
              <w:divsChild>
                <w:div w:id="1267424259">
                  <w:marLeft w:val="0"/>
                  <w:marRight w:val="0"/>
                  <w:marTop w:val="0"/>
                  <w:marBottom w:val="0"/>
                  <w:divBdr>
                    <w:top w:val="none" w:sz="0" w:space="0" w:color="auto"/>
                    <w:left w:val="none" w:sz="0" w:space="0" w:color="auto"/>
                    <w:bottom w:val="none" w:sz="0" w:space="0" w:color="auto"/>
                    <w:right w:val="none" w:sz="0" w:space="0" w:color="auto"/>
                  </w:divBdr>
                  <w:divsChild>
                    <w:div w:id="308826320">
                      <w:marLeft w:val="0"/>
                      <w:marRight w:val="0"/>
                      <w:marTop w:val="0"/>
                      <w:marBottom w:val="0"/>
                      <w:divBdr>
                        <w:top w:val="none" w:sz="0" w:space="0" w:color="auto"/>
                        <w:left w:val="none" w:sz="0" w:space="0" w:color="auto"/>
                        <w:bottom w:val="none" w:sz="0" w:space="0" w:color="auto"/>
                        <w:right w:val="none" w:sz="0" w:space="0" w:color="auto"/>
                      </w:divBdr>
                      <w:divsChild>
                        <w:div w:id="331225163">
                          <w:marLeft w:val="0"/>
                          <w:marRight w:val="0"/>
                          <w:marTop w:val="0"/>
                          <w:marBottom w:val="0"/>
                          <w:divBdr>
                            <w:top w:val="none" w:sz="0" w:space="0" w:color="auto"/>
                            <w:left w:val="none" w:sz="0" w:space="0" w:color="auto"/>
                            <w:bottom w:val="none" w:sz="0" w:space="0" w:color="auto"/>
                            <w:right w:val="none" w:sz="0" w:space="0" w:color="auto"/>
                          </w:divBdr>
                          <w:divsChild>
                            <w:div w:id="1685746073">
                              <w:marLeft w:val="0"/>
                              <w:marRight w:val="0"/>
                              <w:marTop w:val="0"/>
                              <w:marBottom w:val="0"/>
                              <w:divBdr>
                                <w:top w:val="none" w:sz="0" w:space="0" w:color="auto"/>
                                <w:left w:val="none" w:sz="0" w:space="0" w:color="auto"/>
                                <w:bottom w:val="none" w:sz="0" w:space="0" w:color="auto"/>
                                <w:right w:val="none" w:sz="0" w:space="0" w:color="auto"/>
                              </w:divBdr>
                              <w:divsChild>
                                <w:div w:id="177938498">
                                  <w:marLeft w:val="0"/>
                                  <w:marRight w:val="0"/>
                                  <w:marTop w:val="0"/>
                                  <w:marBottom w:val="0"/>
                                  <w:divBdr>
                                    <w:top w:val="none" w:sz="0" w:space="0" w:color="auto"/>
                                    <w:left w:val="none" w:sz="0" w:space="0" w:color="auto"/>
                                    <w:bottom w:val="none" w:sz="0" w:space="0" w:color="auto"/>
                                    <w:right w:val="none" w:sz="0" w:space="0" w:color="auto"/>
                                  </w:divBdr>
                                </w:div>
                                <w:div w:id="58410101">
                                  <w:marLeft w:val="0"/>
                                  <w:marRight w:val="0"/>
                                  <w:marTop w:val="0"/>
                                  <w:marBottom w:val="0"/>
                                  <w:divBdr>
                                    <w:top w:val="none" w:sz="0" w:space="0" w:color="auto"/>
                                    <w:left w:val="none" w:sz="0" w:space="0" w:color="auto"/>
                                    <w:bottom w:val="none" w:sz="0" w:space="0" w:color="auto"/>
                                    <w:right w:val="none" w:sz="0" w:space="0" w:color="auto"/>
                                  </w:divBdr>
                                </w:div>
                                <w:div w:id="1900285665">
                                  <w:marLeft w:val="0"/>
                                  <w:marRight w:val="0"/>
                                  <w:marTop w:val="0"/>
                                  <w:marBottom w:val="0"/>
                                  <w:divBdr>
                                    <w:top w:val="none" w:sz="0" w:space="0" w:color="auto"/>
                                    <w:left w:val="none" w:sz="0" w:space="0" w:color="auto"/>
                                    <w:bottom w:val="none" w:sz="0" w:space="0" w:color="auto"/>
                                    <w:right w:val="none" w:sz="0" w:space="0" w:color="auto"/>
                                  </w:divBdr>
                                </w:div>
                                <w:div w:id="1401251630">
                                  <w:marLeft w:val="0"/>
                                  <w:marRight w:val="0"/>
                                  <w:marTop w:val="0"/>
                                  <w:marBottom w:val="0"/>
                                  <w:divBdr>
                                    <w:top w:val="none" w:sz="0" w:space="0" w:color="auto"/>
                                    <w:left w:val="none" w:sz="0" w:space="0" w:color="auto"/>
                                    <w:bottom w:val="none" w:sz="0" w:space="0" w:color="auto"/>
                                    <w:right w:val="none" w:sz="0" w:space="0" w:color="auto"/>
                                  </w:divBdr>
                                </w:div>
                                <w:div w:id="1753350575">
                                  <w:marLeft w:val="0"/>
                                  <w:marRight w:val="0"/>
                                  <w:marTop w:val="0"/>
                                  <w:marBottom w:val="0"/>
                                  <w:divBdr>
                                    <w:top w:val="none" w:sz="0" w:space="0" w:color="auto"/>
                                    <w:left w:val="none" w:sz="0" w:space="0" w:color="auto"/>
                                    <w:bottom w:val="none" w:sz="0" w:space="0" w:color="auto"/>
                                    <w:right w:val="none" w:sz="0" w:space="0" w:color="auto"/>
                                  </w:divBdr>
                                </w:div>
                                <w:div w:id="4588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98220">
      <w:bodyDiv w:val="1"/>
      <w:marLeft w:val="0"/>
      <w:marRight w:val="0"/>
      <w:marTop w:val="0"/>
      <w:marBottom w:val="0"/>
      <w:divBdr>
        <w:top w:val="none" w:sz="0" w:space="0" w:color="auto"/>
        <w:left w:val="none" w:sz="0" w:space="0" w:color="auto"/>
        <w:bottom w:val="none" w:sz="0" w:space="0" w:color="auto"/>
        <w:right w:val="none" w:sz="0" w:space="0" w:color="auto"/>
      </w:divBdr>
      <w:divsChild>
        <w:div w:id="25564707">
          <w:marLeft w:val="0"/>
          <w:marRight w:val="0"/>
          <w:marTop w:val="0"/>
          <w:marBottom w:val="0"/>
          <w:divBdr>
            <w:top w:val="none" w:sz="0" w:space="0" w:color="auto"/>
            <w:left w:val="none" w:sz="0" w:space="0" w:color="auto"/>
            <w:bottom w:val="none" w:sz="0" w:space="0" w:color="auto"/>
            <w:right w:val="none" w:sz="0" w:space="0" w:color="auto"/>
          </w:divBdr>
          <w:divsChild>
            <w:div w:id="1123575548">
              <w:marLeft w:val="150"/>
              <w:marRight w:val="150"/>
              <w:marTop w:val="0"/>
              <w:marBottom w:val="150"/>
              <w:divBdr>
                <w:top w:val="none" w:sz="0" w:space="0" w:color="auto"/>
                <w:left w:val="none" w:sz="0" w:space="0" w:color="auto"/>
                <w:bottom w:val="none" w:sz="0" w:space="0" w:color="auto"/>
                <w:right w:val="none" w:sz="0" w:space="0" w:color="auto"/>
              </w:divBdr>
              <w:divsChild>
                <w:div w:id="838544979">
                  <w:marLeft w:val="0"/>
                  <w:marRight w:val="0"/>
                  <w:marTop w:val="0"/>
                  <w:marBottom w:val="0"/>
                  <w:divBdr>
                    <w:top w:val="none" w:sz="0" w:space="0" w:color="auto"/>
                    <w:left w:val="none" w:sz="0" w:space="0" w:color="auto"/>
                    <w:bottom w:val="none" w:sz="0" w:space="0" w:color="auto"/>
                    <w:right w:val="none" w:sz="0" w:space="0" w:color="auto"/>
                  </w:divBdr>
                  <w:divsChild>
                    <w:div w:id="2007005871">
                      <w:marLeft w:val="0"/>
                      <w:marRight w:val="0"/>
                      <w:marTop w:val="0"/>
                      <w:marBottom w:val="0"/>
                      <w:divBdr>
                        <w:top w:val="none" w:sz="0" w:space="0" w:color="auto"/>
                        <w:left w:val="none" w:sz="0" w:space="0" w:color="auto"/>
                        <w:bottom w:val="none" w:sz="0" w:space="0" w:color="auto"/>
                        <w:right w:val="none" w:sz="0" w:space="0" w:color="auto"/>
                      </w:divBdr>
                      <w:divsChild>
                        <w:div w:id="1040015136">
                          <w:marLeft w:val="0"/>
                          <w:marRight w:val="0"/>
                          <w:marTop w:val="0"/>
                          <w:marBottom w:val="0"/>
                          <w:divBdr>
                            <w:top w:val="none" w:sz="0" w:space="0" w:color="auto"/>
                            <w:left w:val="none" w:sz="0" w:space="0" w:color="auto"/>
                            <w:bottom w:val="none" w:sz="0" w:space="0" w:color="auto"/>
                            <w:right w:val="none" w:sz="0" w:space="0" w:color="auto"/>
                          </w:divBdr>
                          <w:divsChild>
                            <w:div w:id="1701129698">
                              <w:marLeft w:val="0"/>
                              <w:marRight w:val="0"/>
                              <w:marTop w:val="0"/>
                              <w:marBottom w:val="0"/>
                              <w:divBdr>
                                <w:top w:val="none" w:sz="0" w:space="0" w:color="auto"/>
                                <w:left w:val="none" w:sz="0" w:space="0" w:color="auto"/>
                                <w:bottom w:val="none" w:sz="0" w:space="0" w:color="auto"/>
                                <w:right w:val="none" w:sz="0" w:space="0" w:color="auto"/>
                              </w:divBdr>
                              <w:divsChild>
                                <w:div w:id="1216236342">
                                  <w:marLeft w:val="0"/>
                                  <w:marRight w:val="0"/>
                                  <w:marTop w:val="0"/>
                                  <w:marBottom w:val="0"/>
                                  <w:divBdr>
                                    <w:top w:val="none" w:sz="0" w:space="0" w:color="auto"/>
                                    <w:left w:val="none" w:sz="0" w:space="0" w:color="auto"/>
                                    <w:bottom w:val="none" w:sz="0" w:space="0" w:color="auto"/>
                                    <w:right w:val="none" w:sz="0" w:space="0" w:color="auto"/>
                                  </w:divBdr>
                                </w:div>
                                <w:div w:id="2126390187">
                                  <w:marLeft w:val="0"/>
                                  <w:marRight w:val="0"/>
                                  <w:marTop w:val="0"/>
                                  <w:marBottom w:val="0"/>
                                  <w:divBdr>
                                    <w:top w:val="none" w:sz="0" w:space="0" w:color="auto"/>
                                    <w:left w:val="none" w:sz="0" w:space="0" w:color="auto"/>
                                    <w:bottom w:val="none" w:sz="0" w:space="0" w:color="auto"/>
                                    <w:right w:val="none" w:sz="0" w:space="0" w:color="auto"/>
                                  </w:divBdr>
                                </w:div>
                                <w:div w:id="2089496844">
                                  <w:marLeft w:val="0"/>
                                  <w:marRight w:val="0"/>
                                  <w:marTop w:val="0"/>
                                  <w:marBottom w:val="0"/>
                                  <w:divBdr>
                                    <w:top w:val="none" w:sz="0" w:space="0" w:color="auto"/>
                                    <w:left w:val="none" w:sz="0" w:space="0" w:color="auto"/>
                                    <w:bottom w:val="none" w:sz="0" w:space="0" w:color="auto"/>
                                    <w:right w:val="none" w:sz="0" w:space="0" w:color="auto"/>
                                  </w:divBdr>
                                </w:div>
                                <w:div w:id="6017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515415">
      <w:bodyDiv w:val="1"/>
      <w:marLeft w:val="0"/>
      <w:marRight w:val="0"/>
      <w:marTop w:val="0"/>
      <w:marBottom w:val="0"/>
      <w:divBdr>
        <w:top w:val="none" w:sz="0" w:space="0" w:color="auto"/>
        <w:left w:val="none" w:sz="0" w:space="0" w:color="auto"/>
        <w:bottom w:val="none" w:sz="0" w:space="0" w:color="auto"/>
        <w:right w:val="none" w:sz="0" w:space="0" w:color="auto"/>
      </w:divBdr>
      <w:divsChild>
        <w:div w:id="1016688069">
          <w:marLeft w:val="0"/>
          <w:marRight w:val="0"/>
          <w:marTop w:val="0"/>
          <w:marBottom w:val="1725"/>
          <w:divBdr>
            <w:top w:val="none" w:sz="0" w:space="0" w:color="auto"/>
            <w:left w:val="none" w:sz="0" w:space="0" w:color="auto"/>
            <w:bottom w:val="none" w:sz="0" w:space="0" w:color="auto"/>
            <w:right w:val="none" w:sz="0" w:space="0" w:color="auto"/>
          </w:divBdr>
          <w:divsChild>
            <w:div w:id="778452971">
              <w:marLeft w:val="0"/>
              <w:marRight w:val="0"/>
              <w:marTop w:val="0"/>
              <w:marBottom w:val="0"/>
              <w:divBdr>
                <w:top w:val="none" w:sz="0" w:space="0" w:color="auto"/>
                <w:left w:val="none" w:sz="0" w:space="0" w:color="auto"/>
                <w:bottom w:val="none" w:sz="0" w:space="0" w:color="auto"/>
                <w:right w:val="none" w:sz="0" w:space="0" w:color="auto"/>
              </w:divBdr>
              <w:divsChild>
                <w:div w:id="697312633">
                  <w:marLeft w:val="300"/>
                  <w:marRight w:val="300"/>
                  <w:marTop w:val="0"/>
                  <w:marBottom w:val="0"/>
                  <w:divBdr>
                    <w:top w:val="none" w:sz="0" w:space="0" w:color="auto"/>
                    <w:left w:val="none" w:sz="0" w:space="0" w:color="auto"/>
                    <w:bottom w:val="none" w:sz="0" w:space="0" w:color="auto"/>
                    <w:right w:val="none" w:sz="0" w:space="0" w:color="auto"/>
                  </w:divBdr>
                  <w:divsChild>
                    <w:div w:id="1184829409">
                      <w:marLeft w:val="0"/>
                      <w:marRight w:val="300"/>
                      <w:marTop w:val="300"/>
                      <w:marBottom w:val="0"/>
                      <w:divBdr>
                        <w:top w:val="none" w:sz="0" w:space="0" w:color="auto"/>
                        <w:left w:val="none" w:sz="0" w:space="0" w:color="auto"/>
                        <w:bottom w:val="none" w:sz="0" w:space="0" w:color="auto"/>
                        <w:right w:val="none" w:sz="0" w:space="0" w:color="auto"/>
                      </w:divBdr>
                      <w:divsChild>
                        <w:div w:id="1233000529">
                          <w:marLeft w:val="225"/>
                          <w:marRight w:val="0"/>
                          <w:marTop w:val="0"/>
                          <w:marBottom w:val="0"/>
                          <w:divBdr>
                            <w:top w:val="none" w:sz="0" w:space="0" w:color="auto"/>
                            <w:left w:val="none" w:sz="0" w:space="0" w:color="auto"/>
                            <w:bottom w:val="none" w:sz="0" w:space="0" w:color="auto"/>
                            <w:right w:val="none" w:sz="0" w:space="0" w:color="auto"/>
                          </w:divBdr>
                          <w:divsChild>
                            <w:div w:id="1372455970">
                              <w:marLeft w:val="0"/>
                              <w:marRight w:val="0"/>
                              <w:marTop w:val="0"/>
                              <w:marBottom w:val="15"/>
                              <w:divBdr>
                                <w:top w:val="none" w:sz="0" w:space="0" w:color="auto"/>
                                <w:left w:val="none" w:sz="0" w:space="0" w:color="auto"/>
                                <w:bottom w:val="single" w:sz="12" w:space="0" w:color="000000"/>
                                <w:right w:val="none" w:sz="0" w:space="0" w:color="auto"/>
                              </w:divBdr>
                              <w:divsChild>
                                <w:div w:id="1007632444">
                                  <w:marLeft w:val="0"/>
                                  <w:marRight w:val="0"/>
                                  <w:marTop w:val="0"/>
                                  <w:marBottom w:val="0"/>
                                  <w:divBdr>
                                    <w:top w:val="none" w:sz="0" w:space="0" w:color="auto"/>
                                    <w:left w:val="none" w:sz="0" w:space="0" w:color="auto"/>
                                    <w:bottom w:val="none" w:sz="0" w:space="0" w:color="auto"/>
                                    <w:right w:val="none" w:sz="0" w:space="0" w:color="auto"/>
                                  </w:divBdr>
                                </w:div>
                                <w:div w:id="1247492439">
                                  <w:marLeft w:val="0"/>
                                  <w:marRight w:val="0"/>
                                  <w:marTop w:val="0"/>
                                  <w:marBottom w:val="0"/>
                                  <w:divBdr>
                                    <w:top w:val="none" w:sz="0" w:space="0" w:color="auto"/>
                                    <w:left w:val="none" w:sz="0" w:space="0" w:color="auto"/>
                                    <w:bottom w:val="none" w:sz="0" w:space="0" w:color="auto"/>
                                    <w:right w:val="none" w:sz="0" w:space="0" w:color="auto"/>
                                  </w:divBdr>
                                </w:div>
                              </w:divsChild>
                            </w:div>
                            <w:div w:id="128667721">
                              <w:marLeft w:val="0"/>
                              <w:marRight w:val="0"/>
                              <w:marTop w:val="0"/>
                              <w:marBottom w:val="0"/>
                              <w:divBdr>
                                <w:top w:val="single" w:sz="6" w:space="15" w:color="000000"/>
                                <w:left w:val="none" w:sz="0" w:space="0" w:color="auto"/>
                                <w:bottom w:val="none" w:sz="0" w:space="0" w:color="auto"/>
                                <w:right w:val="none" w:sz="0" w:space="0" w:color="auto"/>
                              </w:divBdr>
                            </w:div>
                            <w:div w:id="1596547374">
                              <w:marLeft w:val="0"/>
                              <w:marRight w:val="0"/>
                              <w:marTop w:val="0"/>
                              <w:marBottom w:val="600"/>
                              <w:divBdr>
                                <w:top w:val="none" w:sz="0" w:space="0" w:color="auto"/>
                                <w:left w:val="none" w:sz="0" w:space="0" w:color="auto"/>
                                <w:bottom w:val="none" w:sz="0" w:space="0" w:color="auto"/>
                                <w:right w:val="none" w:sz="0" w:space="0" w:color="auto"/>
                              </w:divBdr>
                              <w:divsChild>
                                <w:div w:id="796410179">
                                  <w:marLeft w:val="0"/>
                                  <w:marRight w:val="0"/>
                                  <w:marTop w:val="0"/>
                                  <w:marBottom w:val="0"/>
                                  <w:divBdr>
                                    <w:top w:val="none" w:sz="0" w:space="0" w:color="auto"/>
                                    <w:left w:val="none" w:sz="0" w:space="0" w:color="auto"/>
                                    <w:bottom w:val="none" w:sz="0" w:space="0" w:color="auto"/>
                                    <w:right w:val="none" w:sz="0" w:space="0" w:color="auto"/>
                                  </w:divBdr>
                                </w:div>
                                <w:div w:id="14067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5139">
                          <w:marLeft w:val="0"/>
                          <w:marRight w:val="0"/>
                          <w:marTop w:val="0"/>
                          <w:marBottom w:val="300"/>
                          <w:divBdr>
                            <w:top w:val="single" w:sz="18" w:space="6" w:color="000000"/>
                            <w:left w:val="none" w:sz="0" w:space="0" w:color="auto"/>
                            <w:bottom w:val="single" w:sz="6" w:space="6" w:color="000000"/>
                            <w:right w:val="none" w:sz="0" w:space="0" w:color="auto"/>
                          </w:divBdr>
                        </w:div>
                        <w:div w:id="1632787599">
                          <w:marLeft w:val="225"/>
                          <w:marRight w:val="0"/>
                          <w:marTop w:val="0"/>
                          <w:marBottom w:val="0"/>
                          <w:divBdr>
                            <w:top w:val="none" w:sz="0" w:space="0" w:color="auto"/>
                            <w:left w:val="none" w:sz="0" w:space="0" w:color="auto"/>
                            <w:bottom w:val="none" w:sz="0" w:space="0" w:color="auto"/>
                            <w:right w:val="none" w:sz="0" w:space="0" w:color="auto"/>
                          </w:divBdr>
                          <w:divsChild>
                            <w:div w:id="567885272">
                              <w:marLeft w:val="0"/>
                              <w:marRight w:val="0"/>
                              <w:marTop w:val="0"/>
                              <w:marBottom w:val="15"/>
                              <w:divBdr>
                                <w:top w:val="none" w:sz="0" w:space="0" w:color="auto"/>
                                <w:left w:val="none" w:sz="0" w:space="0" w:color="auto"/>
                                <w:bottom w:val="single" w:sz="12" w:space="0" w:color="000000"/>
                                <w:right w:val="none" w:sz="0" w:space="0" w:color="auto"/>
                              </w:divBdr>
                              <w:divsChild>
                                <w:div w:id="530412749">
                                  <w:marLeft w:val="0"/>
                                  <w:marRight w:val="0"/>
                                  <w:marTop w:val="0"/>
                                  <w:marBottom w:val="0"/>
                                  <w:divBdr>
                                    <w:top w:val="none" w:sz="0" w:space="0" w:color="auto"/>
                                    <w:left w:val="none" w:sz="0" w:space="0" w:color="auto"/>
                                    <w:bottom w:val="none" w:sz="0" w:space="0" w:color="auto"/>
                                    <w:right w:val="none" w:sz="0" w:space="0" w:color="auto"/>
                                  </w:divBdr>
                                </w:div>
                                <w:div w:id="393622318">
                                  <w:marLeft w:val="0"/>
                                  <w:marRight w:val="0"/>
                                  <w:marTop w:val="0"/>
                                  <w:marBottom w:val="0"/>
                                  <w:divBdr>
                                    <w:top w:val="none" w:sz="0" w:space="0" w:color="auto"/>
                                    <w:left w:val="none" w:sz="0" w:space="0" w:color="auto"/>
                                    <w:bottom w:val="none" w:sz="0" w:space="0" w:color="auto"/>
                                    <w:right w:val="none" w:sz="0" w:space="0" w:color="auto"/>
                                  </w:divBdr>
                                </w:div>
                                <w:div w:id="263854039">
                                  <w:marLeft w:val="0"/>
                                  <w:marRight w:val="0"/>
                                  <w:marTop w:val="0"/>
                                  <w:marBottom w:val="0"/>
                                  <w:divBdr>
                                    <w:top w:val="none" w:sz="0" w:space="0" w:color="auto"/>
                                    <w:left w:val="none" w:sz="0" w:space="0" w:color="auto"/>
                                    <w:bottom w:val="none" w:sz="0" w:space="0" w:color="auto"/>
                                    <w:right w:val="none" w:sz="0" w:space="0" w:color="auto"/>
                                  </w:divBdr>
                                </w:div>
                              </w:divsChild>
                            </w:div>
                            <w:div w:id="332144818">
                              <w:marLeft w:val="0"/>
                              <w:marRight w:val="0"/>
                              <w:marTop w:val="0"/>
                              <w:marBottom w:val="0"/>
                              <w:divBdr>
                                <w:top w:val="single" w:sz="6" w:space="15" w:color="000000"/>
                                <w:left w:val="none" w:sz="0" w:space="0" w:color="auto"/>
                                <w:bottom w:val="none" w:sz="0" w:space="0" w:color="auto"/>
                                <w:right w:val="none" w:sz="0" w:space="0" w:color="auto"/>
                              </w:divBdr>
                            </w:div>
                            <w:div w:id="540094967">
                              <w:marLeft w:val="0"/>
                              <w:marRight w:val="0"/>
                              <w:marTop w:val="0"/>
                              <w:marBottom w:val="600"/>
                              <w:divBdr>
                                <w:top w:val="none" w:sz="0" w:space="0" w:color="auto"/>
                                <w:left w:val="none" w:sz="0" w:space="0" w:color="auto"/>
                                <w:bottom w:val="none" w:sz="0" w:space="0" w:color="auto"/>
                                <w:right w:val="none" w:sz="0" w:space="0" w:color="auto"/>
                              </w:divBdr>
                              <w:divsChild>
                                <w:div w:id="1707951842">
                                  <w:marLeft w:val="0"/>
                                  <w:marRight w:val="0"/>
                                  <w:marTop w:val="0"/>
                                  <w:marBottom w:val="0"/>
                                  <w:divBdr>
                                    <w:top w:val="none" w:sz="0" w:space="0" w:color="auto"/>
                                    <w:left w:val="none" w:sz="0" w:space="0" w:color="auto"/>
                                    <w:bottom w:val="none" w:sz="0" w:space="0" w:color="auto"/>
                                    <w:right w:val="none" w:sz="0" w:space="0" w:color="auto"/>
                                  </w:divBdr>
                                </w:div>
                                <w:div w:id="15632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4299">
                          <w:marLeft w:val="0"/>
                          <w:marRight w:val="0"/>
                          <w:marTop w:val="0"/>
                          <w:marBottom w:val="300"/>
                          <w:divBdr>
                            <w:top w:val="single" w:sz="18" w:space="6" w:color="000000"/>
                            <w:left w:val="none" w:sz="0" w:space="0" w:color="auto"/>
                            <w:bottom w:val="single" w:sz="6" w:space="6" w:color="000000"/>
                            <w:right w:val="none" w:sz="0" w:space="0" w:color="auto"/>
                          </w:divBdr>
                        </w:div>
                        <w:div w:id="604658179">
                          <w:marLeft w:val="225"/>
                          <w:marRight w:val="0"/>
                          <w:marTop w:val="0"/>
                          <w:marBottom w:val="0"/>
                          <w:divBdr>
                            <w:top w:val="none" w:sz="0" w:space="0" w:color="auto"/>
                            <w:left w:val="none" w:sz="0" w:space="0" w:color="auto"/>
                            <w:bottom w:val="none" w:sz="0" w:space="0" w:color="auto"/>
                            <w:right w:val="none" w:sz="0" w:space="0" w:color="auto"/>
                          </w:divBdr>
                          <w:divsChild>
                            <w:div w:id="1213424856">
                              <w:marLeft w:val="0"/>
                              <w:marRight w:val="0"/>
                              <w:marTop w:val="0"/>
                              <w:marBottom w:val="15"/>
                              <w:divBdr>
                                <w:top w:val="none" w:sz="0" w:space="0" w:color="auto"/>
                                <w:left w:val="none" w:sz="0" w:space="0" w:color="auto"/>
                                <w:bottom w:val="single" w:sz="12" w:space="0" w:color="000000"/>
                                <w:right w:val="none" w:sz="0" w:space="0" w:color="auto"/>
                              </w:divBdr>
                              <w:divsChild>
                                <w:div w:id="1546257724">
                                  <w:marLeft w:val="0"/>
                                  <w:marRight w:val="0"/>
                                  <w:marTop w:val="0"/>
                                  <w:marBottom w:val="0"/>
                                  <w:divBdr>
                                    <w:top w:val="none" w:sz="0" w:space="0" w:color="auto"/>
                                    <w:left w:val="none" w:sz="0" w:space="0" w:color="auto"/>
                                    <w:bottom w:val="none" w:sz="0" w:space="0" w:color="auto"/>
                                    <w:right w:val="none" w:sz="0" w:space="0" w:color="auto"/>
                                  </w:divBdr>
                                </w:div>
                                <w:div w:id="1674603511">
                                  <w:marLeft w:val="0"/>
                                  <w:marRight w:val="0"/>
                                  <w:marTop w:val="0"/>
                                  <w:marBottom w:val="0"/>
                                  <w:divBdr>
                                    <w:top w:val="none" w:sz="0" w:space="0" w:color="auto"/>
                                    <w:left w:val="none" w:sz="0" w:space="0" w:color="auto"/>
                                    <w:bottom w:val="none" w:sz="0" w:space="0" w:color="auto"/>
                                    <w:right w:val="none" w:sz="0" w:space="0" w:color="auto"/>
                                  </w:divBdr>
                                </w:div>
                                <w:div w:id="246043589">
                                  <w:marLeft w:val="0"/>
                                  <w:marRight w:val="0"/>
                                  <w:marTop w:val="0"/>
                                  <w:marBottom w:val="0"/>
                                  <w:divBdr>
                                    <w:top w:val="none" w:sz="0" w:space="0" w:color="auto"/>
                                    <w:left w:val="none" w:sz="0" w:space="0" w:color="auto"/>
                                    <w:bottom w:val="none" w:sz="0" w:space="0" w:color="auto"/>
                                    <w:right w:val="none" w:sz="0" w:space="0" w:color="auto"/>
                                  </w:divBdr>
                                </w:div>
                              </w:divsChild>
                            </w:div>
                            <w:div w:id="1364474641">
                              <w:marLeft w:val="0"/>
                              <w:marRight w:val="0"/>
                              <w:marTop w:val="0"/>
                              <w:marBottom w:val="0"/>
                              <w:divBdr>
                                <w:top w:val="single" w:sz="6" w:space="15" w:color="000000"/>
                                <w:left w:val="none" w:sz="0" w:space="0" w:color="auto"/>
                                <w:bottom w:val="none" w:sz="0" w:space="0" w:color="auto"/>
                                <w:right w:val="none" w:sz="0" w:space="0" w:color="auto"/>
                              </w:divBdr>
                            </w:div>
                          </w:divsChild>
                        </w:div>
                      </w:divsChild>
                    </w:div>
                  </w:divsChild>
                </w:div>
              </w:divsChild>
            </w:div>
          </w:divsChild>
        </w:div>
      </w:divsChild>
    </w:div>
    <w:div w:id="1341272768">
      <w:bodyDiv w:val="1"/>
      <w:marLeft w:val="0"/>
      <w:marRight w:val="0"/>
      <w:marTop w:val="0"/>
      <w:marBottom w:val="0"/>
      <w:divBdr>
        <w:top w:val="none" w:sz="0" w:space="0" w:color="auto"/>
        <w:left w:val="none" w:sz="0" w:space="0" w:color="auto"/>
        <w:bottom w:val="none" w:sz="0" w:space="0" w:color="auto"/>
        <w:right w:val="none" w:sz="0" w:space="0" w:color="auto"/>
      </w:divBdr>
      <w:divsChild>
        <w:div w:id="1342508882">
          <w:marLeft w:val="0"/>
          <w:marRight w:val="0"/>
          <w:marTop w:val="0"/>
          <w:marBottom w:val="0"/>
          <w:divBdr>
            <w:top w:val="none" w:sz="0" w:space="0" w:color="auto"/>
            <w:left w:val="none" w:sz="0" w:space="0" w:color="auto"/>
            <w:bottom w:val="none" w:sz="0" w:space="0" w:color="auto"/>
            <w:right w:val="none" w:sz="0" w:space="0" w:color="auto"/>
          </w:divBdr>
          <w:divsChild>
            <w:div w:id="1854301076">
              <w:marLeft w:val="150"/>
              <w:marRight w:val="150"/>
              <w:marTop w:val="0"/>
              <w:marBottom w:val="150"/>
              <w:divBdr>
                <w:top w:val="none" w:sz="0" w:space="0" w:color="auto"/>
                <w:left w:val="none" w:sz="0" w:space="0" w:color="auto"/>
                <w:bottom w:val="none" w:sz="0" w:space="0" w:color="auto"/>
                <w:right w:val="none" w:sz="0" w:space="0" w:color="auto"/>
              </w:divBdr>
              <w:divsChild>
                <w:div w:id="273052589">
                  <w:marLeft w:val="0"/>
                  <w:marRight w:val="0"/>
                  <w:marTop w:val="0"/>
                  <w:marBottom w:val="0"/>
                  <w:divBdr>
                    <w:top w:val="none" w:sz="0" w:space="0" w:color="auto"/>
                    <w:left w:val="none" w:sz="0" w:space="0" w:color="auto"/>
                    <w:bottom w:val="none" w:sz="0" w:space="0" w:color="auto"/>
                    <w:right w:val="none" w:sz="0" w:space="0" w:color="auto"/>
                  </w:divBdr>
                  <w:divsChild>
                    <w:div w:id="1176575622">
                      <w:marLeft w:val="0"/>
                      <w:marRight w:val="0"/>
                      <w:marTop w:val="0"/>
                      <w:marBottom w:val="0"/>
                      <w:divBdr>
                        <w:top w:val="none" w:sz="0" w:space="0" w:color="auto"/>
                        <w:left w:val="none" w:sz="0" w:space="0" w:color="auto"/>
                        <w:bottom w:val="none" w:sz="0" w:space="0" w:color="auto"/>
                        <w:right w:val="none" w:sz="0" w:space="0" w:color="auto"/>
                      </w:divBdr>
                      <w:divsChild>
                        <w:div w:id="1257833928">
                          <w:marLeft w:val="0"/>
                          <w:marRight w:val="0"/>
                          <w:marTop w:val="0"/>
                          <w:marBottom w:val="0"/>
                          <w:divBdr>
                            <w:top w:val="none" w:sz="0" w:space="0" w:color="auto"/>
                            <w:left w:val="none" w:sz="0" w:space="0" w:color="auto"/>
                            <w:bottom w:val="none" w:sz="0" w:space="0" w:color="auto"/>
                            <w:right w:val="none" w:sz="0" w:space="0" w:color="auto"/>
                          </w:divBdr>
                          <w:divsChild>
                            <w:div w:id="1141189714">
                              <w:marLeft w:val="0"/>
                              <w:marRight w:val="0"/>
                              <w:marTop w:val="0"/>
                              <w:marBottom w:val="0"/>
                              <w:divBdr>
                                <w:top w:val="none" w:sz="0" w:space="0" w:color="auto"/>
                                <w:left w:val="none" w:sz="0" w:space="0" w:color="auto"/>
                                <w:bottom w:val="none" w:sz="0" w:space="0" w:color="auto"/>
                                <w:right w:val="none" w:sz="0" w:space="0" w:color="auto"/>
                              </w:divBdr>
                              <w:divsChild>
                                <w:div w:id="1779451393">
                                  <w:marLeft w:val="0"/>
                                  <w:marRight w:val="0"/>
                                  <w:marTop w:val="0"/>
                                  <w:marBottom w:val="0"/>
                                  <w:divBdr>
                                    <w:top w:val="none" w:sz="0" w:space="0" w:color="auto"/>
                                    <w:left w:val="none" w:sz="0" w:space="0" w:color="auto"/>
                                    <w:bottom w:val="none" w:sz="0" w:space="0" w:color="auto"/>
                                    <w:right w:val="none" w:sz="0" w:space="0" w:color="auto"/>
                                  </w:divBdr>
                                </w:div>
                                <w:div w:id="8144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864671">
      <w:bodyDiv w:val="1"/>
      <w:marLeft w:val="0"/>
      <w:marRight w:val="0"/>
      <w:marTop w:val="0"/>
      <w:marBottom w:val="0"/>
      <w:divBdr>
        <w:top w:val="none" w:sz="0" w:space="0" w:color="auto"/>
        <w:left w:val="none" w:sz="0" w:space="0" w:color="auto"/>
        <w:bottom w:val="none" w:sz="0" w:space="0" w:color="auto"/>
        <w:right w:val="none" w:sz="0" w:space="0" w:color="auto"/>
      </w:divBdr>
      <w:divsChild>
        <w:div w:id="1212689987">
          <w:marLeft w:val="0"/>
          <w:marRight w:val="0"/>
          <w:marTop w:val="0"/>
          <w:marBottom w:val="0"/>
          <w:divBdr>
            <w:top w:val="none" w:sz="0" w:space="0" w:color="auto"/>
            <w:left w:val="none" w:sz="0" w:space="0" w:color="auto"/>
            <w:bottom w:val="none" w:sz="0" w:space="0" w:color="auto"/>
            <w:right w:val="none" w:sz="0" w:space="0" w:color="auto"/>
          </w:divBdr>
          <w:divsChild>
            <w:div w:id="2104910323">
              <w:marLeft w:val="150"/>
              <w:marRight w:val="150"/>
              <w:marTop w:val="0"/>
              <w:marBottom w:val="150"/>
              <w:divBdr>
                <w:top w:val="none" w:sz="0" w:space="0" w:color="auto"/>
                <w:left w:val="none" w:sz="0" w:space="0" w:color="auto"/>
                <w:bottom w:val="none" w:sz="0" w:space="0" w:color="auto"/>
                <w:right w:val="none" w:sz="0" w:space="0" w:color="auto"/>
              </w:divBdr>
              <w:divsChild>
                <w:div w:id="539055413">
                  <w:marLeft w:val="0"/>
                  <w:marRight w:val="0"/>
                  <w:marTop w:val="0"/>
                  <w:marBottom w:val="0"/>
                  <w:divBdr>
                    <w:top w:val="none" w:sz="0" w:space="0" w:color="auto"/>
                    <w:left w:val="none" w:sz="0" w:space="0" w:color="auto"/>
                    <w:bottom w:val="none" w:sz="0" w:space="0" w:color="auto"/>
                    <w:right w:val="none" w:sz="0" w:space="0" w:color="auto"/>
                  </w:divBdr>
                  <w:divsChild>
                    <w:div w:id="1189879571">
                      <w:marLeft w:val="0"/>
                      <w:marRight w:val="0"/>
                      <w:marTop w:val="0"/>
                      <w:marBottom w:val="0"/>
                      <w:divBdr>
                        <w:top w:val="none" w:sz="0" w:space="0" w:color="auto"/>
                        <w:left w:val="none" w:sz="0" w:space="0" w:color="auto"/>
                        <w:bottom w:val="none" w:sz="0" w:space="0" w:color="auto"/>
                        <w:right w:val="none" w:sz="0" w:space="0" w:color="auto"/>
                      </w:divBdr>
                      <w:divsChild>
                        <w:div w:id="620503558">
                          <w:marLeft w:val="0"/>
                          <w:marRight w:val="0"/>
                          <w:marTop w:val="0"/>
                          <w:marBottom w:val="0"/>
                          <w:divBdr>
                            <w:top w:val="none" w:sz="0" w:space="0" w:color="auto"/>
                            <w:left w:val="none" w:sz="0" w:space="0" w:color="auto"/>
                            <w:bottom w:val="none" w:sz="0" w:space="0" w:color="auto"/>
                            <w:right w:val="none" w:sz="0" w:space="0" w:color="auto"/>
                          </w:divBdr>
                          <w:divsChild>
                            <w:div w:id="696083484">
                              <w:marLeft w:val="0"/>
                              <w:marRight w:val="0"/>
                              <w:marTop w:val="0"/>
                              <w:marBottom w:val="0"/>
                              <w:divBdr>
                                <w:top w:val="none" w:sz="0" w:space="0" w:color="auto"/>
                                <w:left w:val="none" w:sz="0" w:space="0" w:color="auto"/>
                                <w:bottom w:val="none" w:sz="0" w:space="0" w:color="auto"/>
                                <w:right w:val="none" w:sz="0" w:space="0" w:color="auto"/>
                              </w:divBdr>
                              <w:divsChild>
                                <w:div w:id="41096466">
                                  <w:marLeft w:val="0"/>
                                  <w:marRight w:val="0"/>
                                  <w:marTop w:val="0"/>
                                  <w:marBottom w:val="0"/>
                                  <w:divBdr>
                                    <w:top w:val="none" w:sz="0" w:space="0" w:color="auto"/>
                                    <w:left w:val="none" w:sz="0" w:space="0" w:color="auto"/>
                                    <w:bottom w:val="none" w:sz="0" w:space="0" w:color="auto"/>
                                    <w:right w:val="none" w:sz="0" w:space="0" w:color="auto"/>
                                  </w:divBdr>
                                </w:div>
                                <w:div w:id="16887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8898">
      <w:bodyDiv w:val="1"/>
      <w:marLeft w:val="0"/>
      <w:marRight w:val="0"/>
      <w:marTop w:val="0"/>
      <w:marBottom w:val="0"/>
      <w:divBdr>
        <w:top w:val="none" w:sz="0" w:space="0" w:color="auto"/>
        <w:left w:val="none" w:sz="0" w:space="0" w:color="auto"/>
        <w:bottom w:val="none" w:sz="0" w:space="0" w:color="auto"/>
        <w:right w:val="none" w:sz="0" w:space="0" w:color="auto"/>
      </w:divBdr>
      <w:divsChild>
        <w:div w:id="1868368308">
          <w:marLeft w:val="0"/>
          <w:marRight w:val="0"/>
          <w:marTop w:val="0"/>
          <w:marBottom w:val="0"/>
          <w:divBdr>
            <w:top w:val="none" w:sz="0" w:space="0" w:color="auto"/>
            <w:left w:val="none" w:sz="0" w:space="0" w:color="auto"/>
            <w:bottom w:val="none" w:sz="0" w:space="0" w:color="auto"/>
            <w:right w:val="none" w:sz="0" w:space="0" w:color="auto"/>
          </w:divBdr>
          <w:divsChild>
            <w:div w:id="80955847">
              <w:marLeft w:val="150"/>
              <w:marRight w:val="150"/>
              <w:marTop w:val="0"/>
              <w:marBottom w:val="150"/>
              <w:divBdr>
                <w:top w:val="none" w:sz="0" w:space="0" w:color="auto"/>
                <w:left w:val="none" w:sz="0" w:space="0" w:color="auto"/>
                <w:bottom w:val="none" w:sz="0" w:space="0" w:color="auto"/>
                <w:right w:val="none" w:sz="0" w:space="0" w:color="auto"/>
              </w:divBdr>
              <w:divsChild>
                <w:div w:id="2097558415">
                  <w:marLeft w:val="0"/>
                  <w:marRight w:val="0"/>
                  <w:marTop w:val="0"/>
                  <w:marBottom w:val="0"/>
                  <w:divBdr>
                    <w:top w:val="none" w:sz="0" w:space="0" w:color="auto"/>
                    <w:left w:val="none" w:sz="0" w:space="0" w:color="auto"/>
                    <w:bottom w:val="none" w:sz="0" w:space="0" w:color="auto"/>
                    <w:right w:val="none" w:sz="0" w:space="0" w:color="auto"/>
                  </w:divBdr>
                  <w:divsChild>
                    <w:div w:id="1120685225">
                      <w:marLeft w:val="0"/>
                      <w:marRight w:val="0"/>
                      <w:marTop w:val="0"/>
                      <w:marBottom w:val="0"/>
                      <w:divBdr>
                        <w:top w:val="none" w:sz="0" w:space="0" w:color="auto"/>
                        <w:left w:val="none" w:sz="0" w:space="0" w:color="auto"/>
                        <w:bottom w:val="none" w:sz="0" w:space="0" w:color="auto"/>
                        <w:right w:val="none" w:sz="0" w:space="0" w:color="auto"/>
                      </w:divBdr>
                      <w:divsChild>
                        <w:div w:id="1770345109">
                          <w:marLeft w:val="0"/>
                          <w:marRight w:val="0"/>
                          <w:marTop w:val="0"/>
                          <w:marBottom w:val="0"/>
                          <w:divBdr>
                            <w:top w:val="none" w:sz="0" w:space="0" w:color="auto"/>
                            <w:left w:val="none" w:sz="0" w:space="0" w:color="auto"/>
                            <w:bottom w:val="none" w:sz="0" w:space="0" w:color="auto"/>
                            <w:right w:val="none" w:sz="0" w:space="0" w:color="auto"/>
                          </w:divBdr>
                          <w:divsChild>
                            <w:div w:id="1039889532">
                              <w:marLeft w:val="0"/>
                              <w:marRight w:val="0"/>
                              <w:marTop w:val="0"/>
                              <w:marBottom w:val="0"/>
                              <w:divBdr>
                                <w:top w:val="none" w:sz="0" w:space="0" w:color="auto"/>
                                <w:left w:val="none" w:sz="0" w:space="0" w:color="auto"/>
                                <w:bottom w:val="none" w:sz="0" w:space="0" w:color="auto"/>
                                <w:right w:val="none" w:sz="0" w:space="0" w:color="auto"/>
                              </w:divBdr>
                              <w:divsChild>
                                <w:div w:id="2124305023">
                                  <w:marLeft w:val="0"/>
                                  <w:marRight w:val="0"/>
                                  <w:marTop w:val="0"/>
                                  <w:marBottom w:val="0"/>
                                  <w:divBdr>
                                    <w:top w:val="none" w:sz="0" w:space="0" w:color="auto"/>
                                    <w:left w:val="none" w:sz="0" w:space="0" w:color="auto"/>
                                    <w:bottom w:val="none" w:sz="0" w:space="0" w:color="auto"/>
                                    <w:right w:val="none" w:sz="0" w:space="0" w:color="auto"/>
                                  </w:divBdr>
                                </w:div>
                                <w:div w:id="20603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38594">
      <w:bodyDiv w:val="1"/>
      <w:marLeft w:val="0"/>
      <w:marRight w:val="0"/>
      <w:marTop w:val="0"/>
      <w:marBottom w:val="0"/>
      <w:divBdr>
        <w:top w:val="none" w:sz="0" w:space="0" w:color="auto"/>
        <w:left w:val="none" w:sz="0" w:space="0" w:color="auto"/>
        <w:bottom w:val="none" w:sz="0" w:space="0" w:color="auto"/>
        <w:right w:val="none" w:sz="0" w:space="0" w:color="auto"/>
      </w:divBdr>
      <w:divsChild>
        <w:div w:id="203444198">
          <w:marLeft w:val="0"/>
          <w:marRight w:val="0"/>
          <w:marTop w:val="0"/>
          <w:marBottom w:val="0"/>
          <w:divBdr>
            <w:top w:val="none" w:sz="0" w:space="0" w:color="auto"/>
            <w:left w:val="none" w:sz="0" w:space="0" w:color="auto"/>
            <w:bottom w:val="none" w:sz="0" w:space="0" w:color="auto"/>
            <w:right w:val="none" w:sz="0" w:space="0" w:color="auto"/>
          </w:divBdr>
          <w:divsChild>
            <w:div w:id="462314636">
              <w:marLeft w:val="150"/>
              <w:marRight w:val="150"/>
              <w:marTop w:val="0"/>
              <w:marBottom w:val="150"/>
              <w:divBdr>
                <w:top w:val="none" w:sz="0" w:space="0" w:color="auto"/>
                <w:left w:val="none" w:sz="0" w:space="0" w:color="auto"/>
                <w:bottom w:val="none" w:sz="0" w:space="0" w:color="auto"/>
                <w:right w:val="none" w:sz="0" w:space="0" w:color="auto"/>
              </w:divBdr>
              <w:divsChild>
                <w:div w:id="195042694">
                  <w:marLeft w:val="0"/>
                  <w:marRight w:val="0"/>
                  <w:marTop w:val="0"/>
                  <w:marBottom w:val="0"/>
                  <w:divBdr>
                    <w:top w:val="none" w:sz="0" w:space="0" w:color="auto"/>
                    <w:left w:val="none" w:sz="0" w:space="0" w:color="auto"/>
                    <w:bottom w:val="none" w:sz="0" w:space="0" w:color="auto"/>
                    <w:right w:val="none" w:sz="0" w:space="0" w:color="auto"/>
                  </w:divBdr>
                  <w:divsChild>
                    <w:div w:id="993293611">
                      <w:marLeft w:val="0"/>
                      <w:marRight w:val="0"/>
                      <w:marTop w:val="0"/>
                      <w:marBottom w:val="0"/>
                      <w:divBdr>
                        <w:top w:val="none" w:sz="0" w:space="0" w:color="auto"/>
                        <w:left w:val="none" w:sz="0" w:space="0" w:color="auto"/>
                        <w:bottom w:val="none" w:sz="0" w:space="0" w:color="auto"/>
                        <w:right w:val="none" w:sz="0" w:space="0" w:color="auto"/>
                      </w:divBdr>
                      <w:divsChild>
                        <w:div w:id="1932425116">
                          <w:marLeft w:val="0"/>
                          <w:marRight w:val="0"/>
                          <w:marTop w:val="0"/>
                          <w:marBottom w:val="0"/>
                          <w:divBdr>
                            <w:top w:val="none" w:sz="0" w:space="0" w:color="auto"/>
                            <w:left w:val="none" w:sz="0" w:space="0" w:color="auto"/>
                            <w:bottom w:val="none" w:sz="0" w:space="0" w:color="auto"/>
                            <w:right w:val="none" w:sz="0" w:space="0" w:color="auto"/>
                          </w:divBdr>
                          <w:divsChild>
                            <w:div w:id="702824655">
                              <w:marLeft w:val="0"/>
                              <w:marRight w:val="0"/>
                              <w:marTop w:val="0"/>
                              <w:marBottom w:val="0"/>
                              <w:divBdr>
                                <w:top w:val="none" w:sz="0" w:space="0" w:color="auto"/>
                                <w:left w:val="none" w:sz="0" w:space="0" w:color="auto"/>
                                <w:bottom w:val="none" w:sz="0" w:space="0" w:color="auto"/>
                                <w:right w:val="none" w:sz="0" w:space="0" w:color="auto"/>
                              </w:divBdr>
                              <w:divsChild>
                                <w:div w:id="77672979">
                                  <w:marLeft w:val="0"/>
                                  <w:marRight w:val="0"/>
                                  <w:marTop w:val="0"/>
                                  <w:marBottom w:val="0"/>
                                  <w:divBdr>
                                    <w:top w:val="none" w:sz="0" w:space="0" w:color="auto"/>
                                    <w:left w:val="none" w:sz="0" w:space="0" w:color="auto"/>
                                    <w:bottom w:val="none" w:sz="0" w:space="0" w:color="auto"/>
                                    <w:right w:val="none" w:sz="0" w:space="0" w:color="auto"/>
                                  </w:divBdr>
                                </w:div>
                                <w:div w:id="3365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197971">
      <w:bodyDiv w:val="1"/>
      <w:marLeft w:val="0"/>
      <w:marRight w:val="0"/>
      <w:marTop w:val="0"/>
      <w:marBottom w:val="0"/>
      <w:divBdr>
        <w:top w:val="none" w:sz="0" w:space="0" w:color="auto"/>
        <w:left w:val="none" w:sz="0" w:space="0" w:color="auto"/>
        <w:bottom w:val="none" w:sz="0" w:space="0" w:color="auto"/>
        <w:right w:val="none" w:sz="0" w:space="0" w:color="auto"/>
      </w:divBdr>
      <w:divsChild>
        <w:div w:id="335421831">
          <w:marLeft w:val="0"/>
          <w:marRight w:val="0"/>
          <w:marTop w:val="0"/>
          <w:marBottom w:val="0"/>
          <w:divBdr>
            <w:top w:val="none" w:sz="0" w:space="0" w:color="auto"/>
            <w:left w:val="none" w:sz="0" w:space="0" w:color="auto"/>
            <w:bottom w:val="none" w:sz="0" w:space="0" w:color="auto"/>
            <w:right w:val="none" w:sz="0" w:space="0" w:color="auto"/>
          </w:divBdr>
          <w:divsChild>
            <w:div w:id="1533422585">
              <w:marLeft w:val="150"/>
              <w:marRight w:val="150"/>
              <w:marTop w:val="0"/>
              <w:marBottom w:val="150"/>
              <w:divBdr>
                <w:top w:val="none" w:sz="0" w:space="0" w:color="auto"/>
                <w:left w:val="none" w:sz="0" w:space="0" w:color="auto"/>
                <w:bottom w:val="none" w:sz="0" w:space="0" w:color="auto"/>
                <w:right w:val="none" w:sz="0" w:space="0" w:color="auto"/>
              </w:divBdr>
              <w:divsChild>
                <w:div w:id="1066761744">
                  <w:marLeft w:val="0"/>
                  <w:marRight w:val="0"/>
                  <w:marTop w:val="0"/>
                  <w:marBottom w:val="0"/>
                  <w:divBdr>
                    <w:top w:val="none" w:sz="0" w:space="0" w:color="auto"/>
                    <w:left w:val="none" w:sz="0" w:space="0" w:color="auto"/>
                    <w:bottom w:val="none" w:sz="0" w:space="0" w:color="auto"/>
                    <w:right w:val="none" w:sz="0" w:space="0" w:color="auto"/>
                  </w:divBdr>
                  <w:divsChild>
                    <w:div w:id="862984896">
                      <w:marLeft w:val="0"/>
                      <w:marRight w:val="0"/>
                      <w:marTop w:val="0"/>
                      <w:marBottom w:val="0"/>
                      <w:divBdr>
                        <w:top w:val="none" w:sz="0" w:space="0" w:color="auto"/>
                        <w:left w:val="none" w:sz="0" w:space="0" w:color="auto"/>
                        <w:bottom w:val="none" w:sz="0" w:space="0" w:color="auto"/>
                        <w:right w:val="none" w:sz="0" w:space="0" w:color="auto"/>
                      </w:divBdr>
                      <w:divsChild>
                        <w:div w:id="465709207">
                          <w:marLeft w:val="0"/>
                          <w:marRight w:val="0"/>
                          <w:marTop w:val="0"/>
                          <w:marBottom w:val="0"/>
                          <w:divBdr>
                            <w:top w:val="none" w:sz="0" w:space="0" w:color="auto"/>
                            <w:left w:val="none" w:sz="0" w:space="0" w:color="auto"/>
                            <w:bottom w:val="none" w:sz="0" w:space="0" w:color="auto"/>
                            <w:right w:val="none" w:sz="0" w:space="0" w:color="auto"/>
                          </w:divBdr>
                          <w:divsChild>
                            <w:div w:id="2035304297">
                              <w:marLeft w:val="0"/>
                              <w:marRight w:val="0"/>
                              <w:marTop w:val="0"/>
                              <w:marBottom w:val="0"/>
                              <w:divBdr>
                                <w:top w:val="none" w:sz="0" w:space="0" w:color="auto"/>
                                <w:left w:val="none" w:sz="0" w:space="0" w:color="auto"/>
                                <w:bottom w:val="none" w:sz="0" w:space="0" w:color="auto"/>
                                <w:right w:val="none" w:sz="0" w:space="0" w:color="auto"/>
                              </w:divBdr>
                              <w:divsChild>
                                <w:div w:id="296641143">
                                  <w:marLeft w:val="0"/>
                                  <w:marRight w:val="0"/>
                                  <w:marTop w:val="0"/>
                                  <w:marBottom w:val="0"/>
                                  <w:divBdr>
                                    <w:top w:val="none" w:sz="0" w:space="0" w:color="auto"/>
                                    <w:left w:val="none" w:sz="0" w:space="0" w:color="auto"/>
                                    <w:bottom w:val="none" w:sz="0" w:space="0" w:color="auto"/>
                                    <w:right w:val="none" w:sz="0" w:space="0" w:color="auto"/>
                                  </w:divBdr>
                                </w:div>
                                <w:div w:id="5103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68335">
      <w:bodyDiv w:val="1"/>
      <w:marLeft w:val="0"/>
      <w:marRight w:val="0"/>
      <w:marTop w:val="0"/>
      <w:marBottom w:val="0"/>
      <w:divBdr>
        <w:top w:val="none" w:sz="0" w:space="0" w:color="auto"/>
        <w:left w:val="none" w:sz="0" w:space="0" w:color="auto"/>
        <w:bottom w:val="none" w:sz="0" w:space="0" w:color="auto"/>
        <w:right w:val="none" w:sz="0" w:space="0" w:color="auto"/>
      </w:divBdr>
      <w:divsChild>
        <w:div w:id="1333337232">
          <w:marLeft w:val="0"/>
          <w:marRight w:val="0"/>
          <w:marTop w:val="0"/>
          <w:marBottom w:val="0"/>
          <w:divBdr>
            <w:top w:val="none" w:sz="0" w:space="0" w:color="auto"/>
            <w:left w:val="none" w:sz="0" w:space="0" w:color="auto"/>
            <w:bottom w:val="none" w:sz="0" w:space="0" w:color="auto"/>
            <w:right w:val="none" w:sz="0" w:space="0" w:color="auto"/>
          </w:divBdr>
          <w:divsChild>
            <w:div w:id="401217620">
              <w:marLeft w:val="150"/>
              <w:marRight w:val="150"/>
              <w:marTop w:val="0"/>
              <w:marBottom w:val="150"/>
              <w:divBdr>
                <w:top w:val="none" w:sz="0" w:space="0" w:color="auto"/>
                <w:left w:val="none" w:sz="0" w:space="0" w:color="auto"/>
                <w:bottom w:val="none" w:sz="0" w:space="0" w:color="auto"/>
                <w:right w:val="none" w:sz="0" w:space="0" w:color="auto"/>
              </w:divBdr>
              <w:divsChild>
                <w:div w:id="203370333">
                  <w:marLeft w:val="0"/>
                  <w:marRight w:val="0"/>
                  <w:marTop w:val="0"/>
                  <w:marBottom w:val="0"/>
                  <w:divBdr>
                    <w:top w:val="none" w:sz="0" w:space="0" w:color="auto"/>
                    <w:left w:val="none" w:sz="0" w:space="0" w:color="auto"/>
                    <w:bottom w:val="none" w:sz="0" w:space="0" w:color="auto"/>
                    <w:right w:val="none" w:sz="0" w:space="0" w:color="auto"/>
                  </w:divBdr>
                  <w:divsChild>
                    <w:div w:id="1119690140">
                      <w:marLeft w:val="0"/>
                      <w:marRight w:val="0"/>
                      <w:marTop w:val="0"/>
                      <w:marBottom w:val="0"/>
                      <w:divBdr>
                        <w:top w:val="none" w:sz="0" w:space="0" w:color="auto"/>
                        <w:left w:val="none" w:sz="0" w:space="0" w:color="auto"/>
                        <w:bottom w:val="none" w:sz="0" w:space="0" w:color="auto"/>
                        <w:right w:val="none" w:sz="0" w:space="0" w:color="auto"/>
                      </w:divBdr>
                      <w:divsChild>
                        <w:div w:id="113720232">
                          <w:marLeft w:val="0"/>
                          <w:marRight w:val="0"/>
                          <w:marTop w:val="0"/>
                          <w:marBottom w:val="0"/>
                          <w:divBdr>
                            <w:top w:val="none" w:sz="0" w:space="0" w:color="auto"/>
                            <w:left w:val="none" w:sz="0" w:space="0" w:color="auto"/>
                            <w:bottom w:val="none" w:sz="0" w:space="0" w:color="auto"/>
                            <w:right w:val="none" w:sz="0" w:space="0" w:color="auto"/>
                          </w:divBdr>
                          <w:divsChild>
                            <w:div w:id="194738895">
                              <w:marLeft w:val="0"/>
                              <w:marRight w:val="0"/>
                              <w:marTop w:val="0"/>
                              <w:marBottom w:val="0"/>
                              <w:divBdr>
                                <w:top w:val="none" w:sz="0" w:space="0" w:color="auto"/>
                                <w:left w:val="none" w:sz="0" w:space="0" w:color="auto"/>
                                <w:bottom w:val="none" w:sz="0" w:space="0" w:color="auto"/>
                                <w:right w:val="none" w:sz="0" w:space="0" w:color="auto"/>
                              </w:divBdr>
                              <w:divsChild>
                                <w:div w:id="311445382">
                                  <w:marLeft w:val="0"/>
                                  <w:marRight w:val="0"/>
                                  <w:marTop w:val="0"/>
                                  <w:marBottom w:val="0"/>
                                  <w:divBdr>
                                    <w:top w:val="none" w:sz="0" w:space="0" w:color="auto"/>
                                    <w:left w:val="none" w:sz="0" w:space="0" w:color="auto"/>
                                    <w:bottom w:val="none" w:sz="0" w:space="0" w:color="auto"/>
                                    <w:right w:val="none" w:sz="0" w:space="0" w:color="auto"/>
                                  </w:divBdr>
                                </w:div>
                                <w:div w:id="20762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694650">
      <w:bodyDiv w:val="1"/>
      <w:marLeft w:val="0"/>
      <w:marRight w:val="0"/>
      <w:marTop w:val="0"/>
      <w:marBottom w:val="0"/>
      <w:divBdr>
        <w:top w:val="none" w:sz="0" w:space="0" w:color="auto"/>
        <w:left w:val="none" w:sz="0" w:space="0" w:color="auto"/>
        <w:bottom w:val="none" w:sz="0" w:space="0" w:color="auto"/>
        <w:right w:val="none" w:sz="0" w:space="0" w:color="auto"/>
      </w:divBdr>
      <w:divsChild>
        <w:div w:id="90125308">
          <w:marLeft w:val="0"/>
          <w:marRight w:val="0"/>
          <w:marTop w:val="0"/>
          <w:marBottom w:val="0"/>
          <w:divBdr>
            <w:top w:val="none" w:sz="0" w:space="0" w:color="auto"/>
            <w:left w:val="none" w:sz="0" w:space="0" w:color="auto"/>
            <w:bottom w:val="none" w:sz="0" w:space="0" w:color="auto"/>
            <w:right w:val="none" w:sz="0" w:space="0" w:color="auto"/>
          </w:divBdr>
          <w:divsChild>
            <w:div w:id="1662804719">
              <w:marLeft w:val="150"/>
              <w:marRight w:val="150"/>
              <w:marTop w:val="0"/>
              <w:marBottom w:val="150"/>
              <w:divBdr>
                <w:top w:val="none" w:sz="0" w:space="0" w:color="auto"/>
                <w:left w:val="none" w:sz="0" w:space="0" w:color="auto"/>
                <w:bottom w:val="none" w:sz="0" w:space="0" w:color="auto"/>
                <w:right w:val="none" w:sz="0" w:space="0" w:color="auto"/>
              </w:divBdr>
              <w:divsChild>
                <w:div w:id="529144990">
                  <w:marLeft w:val="0"/>
                  <w:marRight w:val="0"/>
                  <w:marTop w:val="0"/>
                  <w:marBottom w:val="0"/>
                  <w:divBdr>
                    <w:top w:val="none" w:sz="0" w:space="0" w:color="auto"/>
                    <w:left w:val="none" w:sz="0" w:space="0" w:color="auto"/>
                    <w:bottom w:val="none" w:sz="0" w:space="0" w:color="auto"/>
                    <w:right w:val="none" w:sz="0" w:space="0" w:color="auto"/>
                  </w:divBdr>
                  <w:divsChild>
                    <w:div w:id="893780372">
                      <w:marLeft w:val="0"/>
                      <w:marRight w:val="0"/>
                      <w:marTop w:val="0"/>
                      <w:marBottom w:val="0"/>
                      <w:divBdr>
                        <w:top w:val="none" w:sz="0" w:space="0" w:color="auto"/>
                        <w:left w:val="none" w:sz="0" w:space="0" w:color="auto"/>
                        <w:bottom w:val="none" w:sz="0" w:space="0" w:color="auto"/>
                        <w:right w:val="none" w:sz="0" w:space="0" w:color="auto"/>
                      </w:divBdr>
                      <w:divsChild>
                        <w:div w:id="23095945">
                          <w:marLeft w:val="0"/>
                          <w:marRight w:val="0"/>
                          <w:marTop w:val="0"/>
                          <w:marBottom w:val="0"/>
                          <w:divBdr>
                            <w:top w:val="none" w:sz="0" w:space="0" w:color="auto"/>
                            <w:left w:val="none" w:sz="0" w:space="0" w:color="auto"/>
                            <w:bottom w:val="none" w:sz="0" w:space="0" w:color="auto"/>
                            <w:right w:val="none" w:sz="0" w:space="0" w:color="auto"/>
                          </w:divBdr>
                          <w:divsChild>
                            <w:div w:id="1059324955">
                              <w:marLeft w:val="0"/>
                              <w:marRight w:val="0"/>
                              <w:marTop w:val="0"/>
                              <w:marBottom w:val="0"/>
                              <w:divBdr>
                                <w:top w:val="none" w:sz="0" w:space="0" w:color="auto"/>
                                <w:left w:val="none" w:sz="0" w:space="0" w:color="auto"/>
                                <w:bottom w:val="none" w:sz="0" w:space="0" w:color="auto"/>
                                <w:right w:val="none" w:sz="0" w:space="0" w:color="auto"/>
                              </w:divBdr>
                              <w:divsChild>
                                <w:div w:id="107938583">
                                  <w:marLeft w:val="0"/>
                                  <w:marRight w:val="0"/>
                                  <w:marTop w:val="0"/>
                                  <w:marBottom w:val="0"/>
                                  <w:divBdr>
                                    <w:top w:val="none" w:sz="0" w:space="0" w:color="auto"/>
                                    <w:left w:val="none" w:sz="0" w:space="0" w:color="auto"/>
                                    <w:bottom w:val="none" w:sz="0" w:space="0" w:color="auto"/>
                                    <w:right w:val="none" w:sz="0" w:space="0" w:color="auto"/>
                                  </w:divBdr>
                                </w:div>
                                <w:div w:id="5435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265176">
      <w:bodyDiv w:val="1"/>
      <w:marLeft w:val="0"/>
      <w:marRight w:val="0"/>
      <w:marTop w:val="0"/>
      <w:marBottom w:val="0"/>
      <w:divBdr>
        <w:top w:val="none" w:sz="0" w:space="0" w:color="auto"/>
        <w:left w:val="none" w:sz="0" w:space="0" w:color="auto"/>
        <w:bottom w:val="none" w:sz="0" w:space="0" w:color="auto"/>
        <w:right w:val="none" w:sz="0" w:space="0" w:color="auto"/>
      </w:divBdr>
      <w:divsChild>
        <w:div w:id="1132018411">
          <w:marLeft w:val="0"/>
          <w:marRight w:val="0"/>
          <w:marTop w:val="0"/>
          <w:marBottom w:val="0"/>
          <w:divBdr>
            <w:top w:val="none" w:sz="0" w:space="0" w:color="auto"/>
            <w:left w:val="none" w:sz="0" w:space="0" w:color="auto"/>
            <w:bottom w:val="none" w:sz="0" w:space="0" w:color="auto"/>
            <w:right w:val="none" w:sz="0" w:space="0" w:color="auto"/>
          </w:divBdr>
          <w:divsChild>
            <w:div w:id="908075612">
              <w:marLeft w:val="150"/>
              <w:marRight w:val="150"/>
              <w:marTop w:val="0"/>
              <w:marBottom w:val="150"/>
              <w:divBdr>
                <w:top w:val="none" w:sz="0" w:space="0" w:color="auto"/>
                <w:left w:val="none" w:sz="0" w:space="0" w:color="auto"/>
                <w:bottom w:val="none" w:sz="0" w:space="0" w:color="auto"/>
                <w:right w:val="none" w:sz="0" w:space="0" w:color="auto"/>
              </w:divBdr>
              <w:divsChild>
                <w:div w:id="350880486">
                  <w:marLeft w:val="0"/>
                  <w:marRight w:val="0"/>
                  <w:marTop w:val="0"/>
                  <w:marBottom w:val="0"/>
                  <w:divBdr>
                    <w:top w:val="none" w:sz="0" w:space="0" w:color="auto"/>
                    <w:left w:val="none" w:sz="0" w:space="0" w:color="auto"/>
                    <w:bottom w:val="none" w:sz="0" w:space="0" w:color="auto"/>
                    <w:right w:val="none" w:sz="0" w:space="0" w:color="auto"/>
                  </w:divBdr>
                  <w:divsChild>
                    <w:div w:id="1187645895">
                      <w:marLeft w:val="0"/>
                      <w:marRight w:val="0"/>
                      <w:marTop w:val="0"/>
                      <w:marBottom w:val="0"/>
                      <w:divBdr>
                        <w:top w:val="none" w:sz="0" w:space="0" w:color="auto"/>
                        <w:left w:val="none" w:sz="0" w:space="0" w:color="auto"/>
                        <w:bottom w:val="none" w:sz="0" w:space="0" w:color="auto"/>
                        <w:right w:val="none" w:sz="0" w:space="0" w:color="auto"/>
                      </w:divBdr>
                      <w:divsChild>
                        <w:div w:id="1127436028">
                          <w:marLeft w:val="0"/>
                          <w:marRight w:val="0"/>
                          <w:marTop w:val="0"/>
                          <w:marBottom w:val="0"/>
                          <w:divBdr>
                            <w:top w:val="none" w:sz="0" w:space="0" w:color="auto"/>
                            <w:left w:val="none" w:sz="0" w:space="0" w:color="auto"/>
                            <w:bottom w:val="none" w:sz="0" w:space="0" w:color="auto"/>
                            <w:right w:val="none" w:sz="0" w:space="0" w:color="auto"/>
                          </w:divBdr>
                          <w:divsChild>
                            <w:div w:id="1044521207">
                              <w:marLeft w:val="0"/>
                              <w:marRight w:val="0"/>
                              <w:marTop w:val="0"/>
                              <w:marBottom w:val="0"/>
                              <w:divBdr>
                                <w:top w:val="none" w:sz="0" w:space="0" w:color="auto"/>
                                <w:left w:val="none" w:sz="0" w:space="0" w:color="auto"/>
                                <w:bottom w:val="none" w:sz="0" w:space="0" w:color="auto"/>
                                <w:right w:val="none" w:sz="0" w:space="0" w:color="auto"/>
                              </w:divBdr>
                              <w:divsChild>
                                <w:div w:id="54743366">
                                  <w:marLeft w:val="0"/>
                                  <w:marRight w:val="0"/>
                                  <w:marTop w:val="0"/>
                                  <w:marBottom w:val="0"/>
                                  <w:divBdr>
                                    <w:top w:val="none" w:sz="0" w:space="0" w:color="auto"/>
                                    <w:left w:val="none" w:sz="0" w:space="0" w:color="auto"/>
                                    <w:bottom w:val="none" w:sz="0" w:space="0" w:color="auto"/>
                                    <w:right w:val="none" w:sz="0" w:space="0" w:color="auto"/>
                                  </w:divBdr>
                                </w:div>
                                <w:div w:id="602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966772">
      <w:bodyDiv w:val="1"/>
      <w:marLeft w:val="0"/>
      <w:marRight w:val="0"/>
      <w:marTop w:val="0"/>
      <w:marBottom w:val="0"/>
      <w:divBdr>
        <w:top w:val="none" w:sz="0" w:space="0" w:color="auto"/>
        <w:left w:val="none" w:sz="0" w:space="0" w:color="auto"/>
        <w:bottom w:val="none" w:sz="0" w:space="0" w:color="auto"/>
        <w:right w:val="none" w:sz="0" w:space="0" w:color="auto"/>
      </w:divBdr>
      <w:divsChild>
        <w:div w:id="1704094776">
          <w:marLeft w:val="0"/>
          <w:marRight w:val="0"/>
          <w:marTop w:val="0"/>
          <w:marBottom w:val="0"/>
          <w:divBdr>
            <w:top w:val="none" w:sz="0" w:space="0" w:color="auto"/>
            <w:left w:val="none" w:sz="0" w:space="0" w:color="auto"/>
            <w:bottom w:val="none" w:sz="0" w:space="0" w:color="auto"/>
            <w:right w:val="none" w:sz="0" w:space="0" w:color="auto"/>
          </w:divBdr>
          <w:divsChild>
            <w:div w:id="137654583">
              <w:marLeft w:val="150"/>
              <w:marRight w:val="150"/>
              <w:marTop w:val="0"/>
              <w:marBottom w:val="150"/>
              <w:divBdr>
                <w:top w:val="none" w:sz="0" w:space="0" w:color="auto"/>
                <w:left w:val="none" w:sz="0" w:space="0" w:color="auto"/>
                <w:bottom w:val="none" w:sz="0" w:space="0" w:color="auto"/>
                <w:right w:val="none" w:sz="0" w:space="0" w:color="auto"/>
              </w:divBdr>
              <w:divsChild>
                <w:div w:id="750003816">
                  <w:marLeft w:val="0"/>
                  <w:marRight w:val="0"/>
                  <w:marTop w:val="0"/>
                  <w:marBottom w:val="0"/>
                  <w:divBdr>
                    <w:top w:val="none" w:sz="0" w:space="0" w:color="auto"/>
                    <w:left w:val="none" w:sz="0" w:space="0" w:color="auto"/>
                    <w:bottom w:val="none" w:sz="0" w:space="0" w:color="auto"/>
                    <w:right w:val="none" w:sz="0" w:space="0" w:color="auto"/>
                  </w:divBdr>
                  <w:divsChild>
                    <w:div w:id="1379889648">
                      <w:marLeft w:val="0"/>
                      <w:marRight w:val="0"/>
                      <w:marTop w:val="0"/>
                      <w:marBottom w:val="0"/>
                      <w:divBdr>
                        <w:top w:val="none" w:sz="0" w:space="0" w:color="auto"/>
                        <w:left w:val="none" w:sz="0" w:space="0" w:color="auto"/>
                        <w:bottom w:val="none" w:sz="0" w:space="0" w:color="auto"/>
                        <w:right w:val="none" w:sz="0" w:space="0" w:color="auto"/>
                      </w:divBdr>
                      <w:divsChild>
                        <w:div w:id="1570143123">
                          <w:marLeft w:val="0"/>
                          <w:marRight w:val="0"/>
                          <w:marTop w:val="0"/>
                          <w:marBottom w:val="0"/>
                          <w:divBdr>
                            <w:top w:val="none" w:sz="0" w:space="0" w:color="auto"/>
                            <w:left w:val="none" w:sz="0" w:space="0" w:color="auto"/>
                            <w:bottom w:val="none" w:sz="0" w:space="0" w:color="auto"/>
                            <w:right w:val="none" w:sz="0" w:space="0" w:color="auto"/>
                          </w:divBdr>
                          <w:divsChild>
                            <w:div w:id="1459254509">
                              <w:marLeft w:val="0"/>
                              <w:marRight w:val="0"/>
                              <w:marTop w:val="0"/>
                              <w:marBottom w:val="0"/>
                              <w:divBdr>
                                <w:top w:val="none" w:sz="0" w:space="0" w:color="auto"/>
                                <w:left w:val="none" w:sz="0" w:space="0" w:color="auto"/>
                                <w:bottom w:val="none" w:sz="0" w:space="0" w:color="auto"/>
                                <w:right w:val="none" w:sz="0" w:space="0" w:color="auto"/>
                              </w:divBdr>
                              <w:divsChild>
                                <w:div w:id="893585028">
                                  <w:marLeft w:val="0"/>
                                  <w:marRight w:val="0"/>
                                  <w:marTop w:val="0"/>
                                  <w:marBottom w:val="0"/>
                                  <w:divBdr>
                                    <w:top w:val="none" w:sz="0" w:space="0" w:color="auto"/>
                                    <w:left w:val="none" w:sz="0" w:space="0" w:color="auto"/>
                                    <w:bottom w:val="none" w:sz="0" w:space="0" w:color="auto"/>
                                    <w:right w:val="none" w:sz="0" w:space="0" w:color="auto"/>
                                  </w:divBdr>
                                </w:div>
                                <w:div w:id="2802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959023">
      <w:bodyDiv w:val="1"/>
      <w:marLeft w:val="0"/>
      <w:marRight w:val="0"/>
      <w:marTop w:val="0"/>
      <w:marBottom w:val="0"/>
      <w:divBdr>
        <w:top w:val="none" w:sz="0" w:space="0" w:color="auto"/>
        <w:left w:val="none" w:sz="0" w:space="0" w:color="auto"/>
        <w:bottom w:val="none" w:sz="0" w:space="0" w:color="auto"/>
        <w:right w:val="none" w:sz="0" w:space="0" w:color="auto"/>
      </w:divBdr>
      <w:divsChild>
        <w:div w:id="124399138">
          <w:marLeft w:val="0"/>
          <w:marRight w:val="0"/>
          <w:marTop w:val="0"/>
          <w:marBottom w:val="0"/>
          <w:divBdr>
            <w:top w:val="none" w:sz="0" w:space="0" w:color="auto"/>
            <w:left w:val="none" w:sz="0" w:space="0" w:color="auto"/>
            <w:bottom w:val="none" w:sz="0" w:space="0" w:color="auto"/>
            <w:right w:val="none" w:sz="0" w:space="0" w:color="auto"/>
          </w:divBdr>
          <w:divsChild>
            <w:div w:id="1906064352">
              <w:marLeft w:val="150"/>
              <w:marRight w:val="150"/>
              <w:marTop w:val="0"/>
              <w:marBottom w:val="150"/>
              <w:divBdr>
                <w:top w:val="none" w:sz="0" w:space="0" w:color="auto"/>
                <w:left w:val="none" w:sz="0" w:space="0" w:color="auto"/>
                <w:bottom w:val="none" w:sz="0" w:space="0" w:color="auto"/>
                <w:right w:val="none" w:sz="0" w:space="0" w:color="auto"/>
              </w:divBdr>
              <w:divsChild>
                <w:div w:id="1413350540">
                  <w:marLeft w:val="0"/>
                  <w:marRight w:val="0"/>
                  <w:marTop w:val="0"/>
                  <w:marBottom w:val="0"/>
                  <w:divBdr>
                    <w:top w:val="none" w:sz="0" w:space="0" w:color="auto"/>
                    <w:left w:val="none" w:sz="0" w:space="0" w:color="auto"/>
                    <w:bottom w:val="none" w:sz="0" w:space="0" w:color="auto"/>
                    <w:right w:val="none" w:sz="0" w:space="0" w:color="auto"/>
                  </w:divBdr>
                  <w:divsChild>
                    <w:div w:id="2003384126">
                      <w:marLeft w:val="0"/>
                      <w:marRight w:val="0"/>
                      <w:marTop w:val="0"/>
                      <w:marBottom w:val="0"/>
                      <w:divBdr>
                        <w:top w:val="none" w:sz="0" w:space="0" w:color="auto"/>
                        <w:left w:val="none" w:sz="0" w:space="0" w:color="auto"/>
                        <w:bottom w:val="none" w:sz="0" w:space="0" w:color="auto"/>
                        <w:right w:val="none" w:sz="0" w:space="0" w:color="auto"/>
                      </w:divBdr>
                      <w:divsChild>
                        <w:div w:id="658846620">
                          <w:marLeft w:val="0"/>
                          <w:marRight w:val="0"/>
                          <w:marTop w:val="0"/>
                          <w:marBottom w:val="0"/>
                          <w:divBdr>
                            <w:top w:val="none" w:sz="0" w:space="0" w:color="auto"/>
                            <w:left w:val="none" w:sz="0" w:space="0" w:color="auto"/>
                            <w:bottom w:val="none" w:sz="0" w:space="0" w:color="auto"/>
                            <w:right w:val="none" w:sz="0" w:space="0" w:color="auto"/>
                          </w:divBdr>
                          <w:divsChild>
                            <w:div w:id="2084251538">
                              <w:marLeft w:val="0"/>
                              <w:marRight w:val="0"/>
                              <w:marTop w:val="0"/>
                              <w:marBottom w:val="0"/>
                              <w:divBdr>
                                <w:top w:val="none" w:sz="0" w:space="0" w:color="auto"/>
                                <w:left w:val="none" w:sz="0" w:space="0" w:color="auto"/>
                                <w:bottom w:val="none" w:sz="0" w:space="0" w:color="auto"/>
                                <w:right w:val="none" w:sz="0" w:space="0" w:color="auto"/>
                              </w:divBdr>
                              <w:divsChild>
                                <w:div w:id="882906431">
                                  <w:marLeft w:val="0"/>
                                  <w:marRight w:val="0"/>
                                  <w:marTop w:val="0"/>
                                  <w:marBottom w:val="0"/>
                                  <w:divBdr>
                                    <w:top w:val="none" w:sz="0" w:space="0" w:color="auto"/>
                                    <w:left w:val="none" w:sz="0" w:space="0" w:color="auto"/>
                                    <w:bottom w:val="none" w:sz="0" w:space="0" w:color="auto"/>
                                    <w:right w:val="none" w:sz="0" w:space="0" w:color="auto"/>
                                  </w:divBdr>
                                </w:div>
                                <w:div w:id="228616790">
                                  <w:marLeft w:val="0"/>
                                  <w:marRight w:val="0"/>
                                  <w:marTop w:val="0"/>
                                  <w:marBottom w:val="0"/>
                                  <w:divBdr>
                                    <w:top w:val="none" w:sz="0" w:space="0" w:color="auto"/>
                                    <w:left w:val="none" w:sz="0" w:space="0" w:color="auto"/>
                                    <w:bottom w:val="none" w:sz="0" w:space="0" w:color="auto"/>
                                    <w:right w:val="none" w:sz="0" w:space="0" w:color="auto"/>
                                  </w:divBdr>
                                </w:div>
                                <w:div w:id="197552218">
                                  <w:marLeft w:val="0"/>
                                  <w:marRight w:val="0"/>
                                  <w:marTop w:val="0"/>
                                  <w:marBottom w:val="0"/>
                                  <w:divBdr>
                                    <w:top w:val="none" w:sz="0" w:space="0" w:color="auto"/>
                                    <w:left w:val="none" w:sz="0" w:space="0" w:color="auto"/>
                                    <w:bottom w:val="none" w:sz="0" w:space="0" w:color="auto"/>
                                    <w:right w:val="none" w:sz="0" w:space="0" w:color="auto"/>
                                  </w:divBdr>
                                </w:div>
                                <w:div w:id="1922442555">
                                  <w:marLeft w:val="0"/>
                                  <w:marRight w:val="0"/>
                                  <w:marTop w:val="0"/>
                                  <w:marBottom w:val="0"/>
                                  <w:divBdr>
                                    <w:top w:val="none" w:sz="0" w:space="0" w:color="auto"/>
                                    <w:left w:val="none" w:sz="0" w:space="0" w:color="auto"/>
                                    <w:bottom w:val="none" w:sz="0" w:space="0" w:color="auto"/>
                                    <w:right w:val="none" w:sz="0" w:space="0" w:color="auto"/>
                                  </w:divBdr>
                                </w:div>
                                <w:div w:id="1229420835">
                                  <w:marLeft w:val="0"/>
                                  <w:marRight w:val="0"/>
                                  <w:marTop w:val="0"/>
                                  <w:marBottom w:val="0"/>
                                  <w:divBdr>
                                    <w:top w:val="none" w:sz="0" w:space="0" w:color="auto"/>
                                    <w:left w:val="none" w:sz="0" w:space="0" w:color="auto"/>
                                    <w:bottom w:val="none" w:sz="0" w:space="0" w:color="auto"/>
                                    <w:right w:val="none" w:sz="0" w:space="0" w:color="auto"/>
                                  </w:divBdr>
                                </w:div>
                                <w:div w:id="1590235269">
                                  <w:marLeft w:val="0"/>
                                  <w:marRight w:val="0"/>
                                  <w:marTop w:val="0"/>
                                  <w:marBottom w:val="0"/>
                                  <w:divBdr>
                                    <w:top w:val="none" w:sz="0" w:space="0" w:color="auto"/>
                                    <w:left w:val="none" w:sz="0" w:space="0" w:color="auto"/>
                                    <w:bottom w:val="none" w:sz="0" w:space="0" w:color="auto"/>
                                    <w:right w:val="none" w:sz="0" w:space="0" w:color="auto"/>
                                  </w:divBdr>
                                </w:div>
                                <w:div w:id="1098136944">
                                  <w:marLeft w:val="0"/>
                                  <w:marRight w:val="0"/>
                                  <w:marTop w:val="0"/>
                                  <w:marBottom w:val="0"/>
                                  <w:divBdr>
                                    <w:top w:val="none" w:sz="0" w:space="0" w:color="auto"/>
                                    <w:left w:val="none" w:sz="0" w:space="0" w:color="auto"/>
                                    <w:bottom w:val="none" w:sz="0" w:space="0" w:color="auto"/>
                                    <w:right w:val="none" w:sz="0" w:space="0" w:color="auto"/>
                                  </w:divBdr>
                                </w:div>
                                <w:div w:id="178588708">
                                  <w:marLeft w:val="0"/>
                                  <w:marRight w:val="0"/>
                                  <w:marTop w:val="0"/>
                                  <w:marBottom w:val="0"/>
                                  <w:divBdr>
                                    <w:top w:val="none" w:sz="0" w:space="0" w:color="auto"/>
                                    <w:left w:val="none" w:sz="0" w:space="0" w:color="auto"/>
                                    <w:bottom w:val="none" w:sz="0" w:space="0" w:color="auto"/>
                                    <w:right w:val="none" w:sz="0" w:space="0" w:color="auto"/>
                                  </w:divBdr>
                                </w:div>
                                <w:div w:id="1494031073">
                                  <w:marLeft w:val="0"/>
                                  <w:marRight w:val="0"/>
                                  <w:marTop w:val="0"/>
                                  <w:marBottom w:val="0"/>
                                  <w:divBdr>
                                    <w:top w:val="none" w:sz="0" w:space="0" w:color="auto"/>
                                    <w:left w:val="none" w:sz="0" w:space="0" w:color="auto"/>
                                    <w:bottom w:val="none" w:sz="0" w:space="0" w:color="auto"/>
                                    <w:right w:val="none" w:sz="0" w:space="0" w:color="auto"/>
                                  </w:divBdr>
                                </w:div>
                                <w:div w:id="1184902097">
                                  <w:marLeft w:val="0"/>
                                  <w:marRight w:val="0"/>
                                  <w:marTop w:val="0"/>
                                  <w:marBottom w:val="0"/>
                                  <w:divBdr>
                                    <w:top w:val="none" w:sz="0" w:space="0" w:color="auto"/>
                                    <w:left w:val="none" w:sz="0" w:space="0" w:color="auto"/>
                                    <w:bottom w:val="none" w:sz="0" w:space="0" w:color="auto"/>
                                    <w:right w:val="none" w:sz="0" w:space="0" w:color="auto"/>
                                  </w:divBdr>
                                </w:div>
                                <w:div w:id="324210690">
                                  <w:marLeft w:val="0"/>
                                  <w:marRight w:val="0"/>
                                  <w:marTop w:val="0"/>
                                  <w:marBottom w:val="0"/>
                                  <w:divBdr>
                                    <w:top w:val="none" w:sz="0" w:space="0" w:color="auto"/>
                                    <w:left w:val="none" w:sz="0" w:space="0" w:color="auto"/>
                                    <w:bottom w:val="none" w:sz="0" w:space="0" w:color="auto"/>
                                    <w:right w:val="none" w:sz="0" w:space="0" w:color="auto"/>
                                  </w:divBdr>
                                </w:div>
                                <w:div w:id="967779281">
                                  <w:marLeft w:val="0"/>
                                  <w:marRight w:val="0"/>
                                  <w:marTop w:val="0"/>
                                  <w:marBottom w:val="0"/>
                                  <w:divBdr>
                                    <w:top w:val="none" w:sz="0" w:space="0" w:color="auto"/>
                                    <w:left w:val="none" w:sz="0" w:space="0" w:color="auto"/>
                                    <w:bottom w:val="none" w:sz="0" w:space="0" w:color="auto"/>
                                    <w:right w:val="none" w:sz="0" w:space="0" w:color="auto"/>
                                  </w:divBdr>
                                </w:div>
                                <w:div w:id="779759635">
                                  <w:marLeft w:val="0"/>
                                  <w:marRight w:val="0"/>
                                  <w:marTop w:val="0"/>
                                  <w:marBottom w:val="0"/>
                                  <w:divBdr>
                                    <w:top w:val="none" w:sz="0" w:space="0" w:color="auto"/>
                                    <w:left w:val="none" w:sz="0" w:space="0" w:color="auto"/>
                                    <w:bottom w:val="none" w:sz="0" w:space="0" w:color="auto"/>
                                    <w:right w:val="none" w:sz="0" w:space="0" w:color="auto"/>
                                  </w:divBdr>
                                </w:div>
                                <w:div w:id="1671133242">
                                  <w:marLeft w:val="0"/>
                                  <w:marRight w:val="0"/>
                                  <w:marTop w:val="0"/>
                                  <w:marBottom w:val="0"/>
                                  <w:divBdr>
                                    <w:top w:val="none" w:sz="0" w:space="0" w:color="auto"/>
                                    <w:left w:val="none" w:sz="0" w:space="0" w:color="auto"/>
                                    <w:bottom w:val="none" w:sz="0" w:space="0" w:color="auto"/>
                                    <w:right w:val="none" w:sz="0" w:space="0" w:color="auto"/>
                                  </w:divBdr>
                                </w:div>
                                <w:div w:id="97146048">
                                  <w:marLeft w:val="0"/>
                                  <w:marRight w:val="0"/>
                                  <w:marTop w:val="0"/>
                                  <w:marBottom w:val="0"/>
                                  <w:divBdr>
                                    <w:top w:val="none" w:sz="0" w:space="0" w:color="auto"/>
                                    <w:left w:val="none" w:sz="0" w:space="0" w:color="auto"/>
                                    <w:bottom w:val="none" w:sz="0" w:space="0" w:color="auto"/>
                                    <w:right w:val="none" w:sz="0" w:space="0" w:color="auto"/>
                                  </w:divBdr>
                                </w:div>
                                <w:div w:id="1720279837">
                                  <w:marLeft w:val="0"/>
                                  <w:marRight w:val="0"/>
                                  <w:marTop w:val="0"/>
                                  <w:marBottom w:val="0"/>
                                  <w:divBdr>
                                    <w:top w:val="none" w:sz="0" w:space="0" w:color="auto"/>
                                    <w:left w:val="none" w:sz="0" w:space="0" w:color="auto"/>
                                    <w:bottom w:val="none" w:sz="0" w:space="0" w:color="auto"/>
                                    <w:right w:val="none" w:sz="0" w:space="0" w:color="auto"/>
                                  </w:divBdr>
                                </w:div>
                                <w:div w:id="1873882040">
                                  <w:marLeft w:val="0"/>
                                  <w:marRight w:val="0"/>
                                  <w:marTop w:val="0"/>
                                  <w:marBottom w:val="0"/>
                                  <w:divBdr>
                                    <w:top w:val="none" w:sz="0" w:space="0" w:color="auto"/>
                                    <w:left w:val="none" w:sz="0" w:space="0" w:color="auto"/>
                                    <w:bottom w:val="none" w:sz="0" w:space="0" w:color="auto"/>
                                    <w:right w:val="none" w:sz="0" w:space="0" w:color="auto"/>
                                  </w:divBdr>
                                </w:div>
                                <w:div w:id="1367872884">
                                  <w:marLeft w:val="0"/>
                                  <w:marRight w:val="0"/>
                                  <w:marTop w:val="0"/>
                                  <w:marBottom w:val="0"/>
                                  <w:divBdr>
                                    <w:top w:val="none" w:sz="0" w:space="0" w:color="auto"/>
                                    <w:left w:val="none" w:sz="0" w:space="0" w:color="auto"/>
                                    <w:bottom w:val="none" w:sz="0" w:space="0" w:color="auto"/>
                                    <w:right w:val="none" w:sz="0" w:space="0" w:color="auto"/>
                                  </w:divBdr>
                                </w:div>
                                <w:div w:id="105589219">
                                  <w:marLeft w:val="0"/>
                                  <w:marRight w:val="0"/>
                                  <w:marTop w:val="0"/>
                                  <w:marBottom w:val="0"/>
                                  <w:divBdr>
                                    <w:top w:val="none" w:sz="0" w:space="0" w:color="auto"/>
                                    <w:left w:val="none" w:sz="0" w:space="0" w:color="auto"/>
                                    <w:bottom w:val="none" w:sz="0" w:space="0" w:color="auto"/>
                                    <w:right w:val="none" w:sz="0" w:space="0" w:color="auto"/>
                                  </w:divBdr>
                                </w:div>
                                <w:div w:id="12071506">
                                  <w:marLeft w:val="0"/>
                                  <w:marRight w:val="0"/>
                                  <w:marTop w:val="0"/>
                                  <w:marBottom w:val="0"/>
                                  <w:divBdr>
                                    <w:top w:val="none" w:sz="0" w:space="0" w:color="auto"/>
                                    <w:left w:val="none" w:sz="0" w:space="0" w:color="auto"/>
                                    <w:bottom w:val="none" w:sz="0" w:space="0" w:color="auto"/>
                                    <w:right w:val="none" w:sz="0" w:space="0" w:color="auto"/>
                                  </w:divBdr>
                                </w:div>
                                <w:div w:id="301231513">
                                  <w:marLeft w:val="0"/>
                                  <w:marRight w:val="0"/>
                                  <w:marTop w:val="0"/>
                                  <w:marBottom w:val="0"/>
                                  <w:divBdr>
                                    <w:top w:val="none" w:sz="0" w:space="0" w:color="auto"/>
                                    <w:left w:val="none" w:sz="0" w:space="0" w:color="auto"/>
                                    <w:bottom w:val="none" w:sz="0" w:space="0" w:color="auto"/>
                                    <w:right w:val="none" w:sz="0" w:space="0" w:color="auto"/>
                                  </w:divBdr>
                                </w:div>
                                <w:div w:id="1110515468">
                                  <w:marLeft w:val="0"/>
                                  <w:marRight w:val="0"/>
                                  <w:marTop w:val="0"/>
                                  <w:marBottom w:val="0"/>
                                  <w:divBdr>
                                    <w:top w:val="none" w:sz="0" w:space="0" w:color="auto"/>
                                    <w:left w:val="none" w:sz="0" w:space="0" w:color="auto"/>
                                    <w:bottom w:val="none" w:sz="0" w:space="0" w:color="auto"/>
                                    <w:right w:val="none" w:sz="0" w:space="0" w:color="auto"/>
                                  </w:divBdr>
                                </w:div>
                                <w:div w:id="548414715">
                                  <w:marLeft w:val="0"/>
                                  <w:marRight w:val="0"/>
                                  <w:marTop w:val="0"/>
                                  <w:marBottom w:val="0"/>
                                  <w:divBdr>
                                    <w:top w:val="none" w:sz="0" w:space="0" w:color="auto"/>
                                    <w:left w:val="none" w:sz="0" w:space="0" w:color="auto"/>
                                    <w:bottom w:val="none" w:sz="0" w:space="0" w:color="auto"/>
                                    <w:right w:val="none" w:sz="0" w:space="0" w:color="auto"/>
                                  </w:divBdr>
                                </w:div>
                                <w:div w:id="1305088239">
                                  <w:marLeft w:val="0"/>
                                  <w:marRight w:val="0"/>
                                  <w:marTop w:val="0"/>
                                  <w:marBottom w:val="0"/>
                                  <w:divBdr>
                                    <w:top w:val="none" w:sz="0" w:space="0" w:color="auto"/>
                                    <w:left w:val="none" w:sz="0" w:space="0" w:color="auto"/>
                                    <w:bottom w:val="none" w:sz="0" w:space="0" w:color="auto"/>
                                    <w:right w:val="none" w:sz="0" w:space="0" w:color="auto"/>
                                  </w:divBdr>
                                </w:div>
                                <w:div w:id="872422607">
                                  <w:marLeft w:val="0"/>
                                  <w:marRight w:val="0"/>
                                  <w:marTop w:val="0"/>
                                  <w:marBottom w:val="0"/>
                                  <w:divBdr>
                                    <w:top w:val="none" w:sz="0" w:space="0" w:color="auto"/>
                                    <w:left w:val="none" w:sz="0" w:space="0" w:color="auto"/>
                                    <w:bottom w:val="none" w:sz="0" w:space="0" w:color="auto"/>
                                    <w:right w:val="none" w:sz="0" w:space="0" w:color="auto"/>
                                  </w:divBdr>
                                </w:div>
                                <w:div w:id="800225297">
                                  <w:marLeft w:val="0"/>
                                  <w:marRight w:val="0"/>
                                  <w:marTop w:val="0"/>
                                  <w:marBottom w:val="0"/>
                                  <w:divBdr>
                                    <w:top w:val="none" w:sz="0" w:space="0" w:color="auto"/>
                                    <w:left w:val="none" w:sz="0" w:space="0" w:color="auto"/>
                                    <w:bottom w:val="none" w:sz="0" w:space="0" w:color="auto"/>
                                    <w:right w:val="none" w:sz="0" w:space="0" w:color="auto"/>
                                  </w:divBdr>
                                </w:div>
                                <w:div w:id="1345860758">
                                  <w:marLeft w:val="0"/>
                                  <w:marRight w:val="0"/>
                                  <w:marTop w:val="0"/>
                                  <w:marBottom w:val="0"/>
                                  <w:divBdr>
                                    <w:top w:val="none" w:sz="0" w:space="0" w:color="auto"/>
                                    <w:left w:val="none" w:sz="0" w:space="0" w:color="auto"/>
                                    <w:bottom w:val="none" w:sz="0" w:space="0" w:color="auto"/>
                                    <w:right w:val="none" w:sz="0" w:space="0" w:color="auto"/>
                                  </w:divBdr>
                                </w:div>
                                <w:div w:id="1868526145">
                                  <w:marLeft w:val="0"/>
                                  <w:marRight w:val="0"/>
                                  <w:marTop w:val="0"/>
                                  <w:marBottom w:val="0"/>
                                  <w:divBdr>
                                    <w:top w:val="none" w:sz="0" w:space="0" w:color="auto"/>
                                    <w:left w:val="none" w:sz="0" w:space="0" w:color="auto"/>
                                    <w:bottom w:val="none" w:sz="0" w:space="0" w:color="auto"/>
                                    <w:right w:val="none" w:sz="0" w:space="0" w:color="auto"/>
                                  </w:divBdr>
                                </w:div>
                                <w:div w:id="1442843382">
                                  <w:marLeft w:val="0"/>
                                  <w:marRight w:val="0"/>
                                  <w:marTop w:val="0"/>
                                  <w:marBottom w:val="0"/>
                                  <w:divBdr>
                                    <w:top w:val="none" w:sz="0" w:space="0" w:color="auto"/>
                                    <w:left w:val="none" w:sz="0" w:space="0" w:color="auto"/>
                                    <w:bottom w:val="none" w:sz="0" w:space="0" w:color="auto"/>
                                    <w:right w:val="none" w:sz="0" w:space="0" w:color="auto"/>
                                  </w:divBdr>
                                </w:div>
                                <w:div w:id="405148947">
                                  <w:marLeft w:val="0"/>
                                  <w:marRight w:val="0"/>
                                  <w:marTop w:val="0"/>
                                  <w:marBottom w:val="0"/>
                                  <w:divBdr>
                                    <w:top w:val="none" w:sz="0" w:space="0" w:color="auto"/>
                                    <w:left w:val="none" w:sz="0" w:space="0" w:color="auto"/>
                                    <w:bottom w:val="none" w:sz="0" w:space="0" w:color="auto"/>
                                    <w:right w:val="none" w:sz="0" w:space="0" w:color="auto"/>
                                  </w:divBdr>
                                </w:div>
                                <w:div w:id="391079581">
                                  <w:marLeft w:val="0"/>
                                  <w:marRight w:val="0"/>
                                  <w:marTop w:val="0"/>
                                  <w:marBottom w:val="0"/>
                                  <w:divBdr>
                                    <w:top w:val="none" w:sz="0" w:space="0" w:color="auto"/>
                                    <w:left w:val="none" w:sz="0" w:space="0" w:color="auto"/>
                                    <w:bottom w:val="none" w:sz="0" w:space="0" w:color="auto"/>
                                    <w:right w:val="none" w:sz="0" w:space="0" w:color="auto"/>
                                  </w:divBdr>
                                </w:div>
                                <w:div w:id="1320957698">
                                  <w:marLeft w:val="0"/>
                                  <w:marRight w:val="0"/>
                                  <w:marTop w:val="0"/>
                                  <w:marBottom w:val="0"/>
                                  <w:divBdr>
                                    <w:top w:val="none" w:sz="0" w:space="0" w:color="auto"/>
                                    <w:left w:val="none" w:sz="0" w:space="0" w:color="auto"/>
                                    <w:bottom w:val="none" w:sz="0" w:space="0" w:color="auto"/>
                                    <w:right w:val="none" w:sz="0" w:space="0" w:color="auto"/>
                                  </w:divBdr>
                                </w:div>
                                <w:div w:id="1769230876">
                                  <w:marLeft w:val="0"/>
                                  <w:marRight w:val="0"/>
                                  <w:marTop w:val="0"/>
                                  <w:marBottom w:val="0"/>
                                  <w:divBdr>
                                    <w:top w:val="none" w:sz="0" w:space="0" w:color="auto"/>
                                    <w:left w:val="none" w:sz="0" w:space="0" w:color="auto"/>
                                    <w:bottom w:val="none" w:sz="0" w:space="0" w:color="auto"/>
                                    <w:right w:val="none" w:sz="0" w:space="0" w:color="auto"/>
                                  </w:divBdr>
                                </w:div>
                                <w:div w:id="618685800">
                                  <w:marLeft w:val="0"/>
                                  <w:marRight w:val="0"/>
                                  <w:marTop w:val="0"/>
                                  <w:marBottom w:val="0"/>
                                  <w:divBdr>
                                    <w:top w:val="none" w:sz="0" w:space="0" w:color="auto"/>
                                    <w:left w:val="none" w:sz="0" w:space="0" w:color="auto"/>
                                    <w:bottom w:val="none" w:sz="0" w:space="0" w:color="auto"/>
                                    <w:right w:val="none" w:sz="0" w:space="0" w:color="auto"/>
                                  </w:divBdr>
                                </w:div>
                                <w:div w:id="1622299764">
                                  <w:marLeft w:val="0"/>
                                  <w:marRight w:val="0"/>
                                  <w:marTop w:val="0"/>
                                  <w:marBottom w:val="0"/>
                                  <w:divBdr>
                                    <w:top w:val="none" w:sz="0" w:space="0" w:color="auto"/>
                                    <w:left w:val="none" w:sz="0" w:space="0" w:color="auto"/>
                                    <w:bottom w:val="none" w:sz="0" w:space="0" w:color="auto"/>
                                    <w:right w:val="none" w:sz="0" w:space="0" w:color="auto"/>
                                  </w:divBdr>
                                </w:div>
                                <w:div w:id="13381458">
                                  <w:marLeft w:val="0"/>
                                  <w:marRight w:val="0"/>
                                  <w:marTop w:val="0"/>
                                  <w:marBottom w:val="0"/>
                                  <w:divBdr>
                                    <w:top w:val="none" w:sz="0" w:space="0" w:color="auto"/>
                                    <w:left w:val="none" w:sz="0" w:space="0" w:color="auto"/>
                                    <w:bottom w:val="none" w:sz="0" w:space="0" w:color="auto"/>
                                    <w:right w:val="none" w:sz="0" w:space="0" w:color="auto"/>
                                  </w:divBdr>
                                </w:div>
                                <w:div w:id="1827897280">
                                  <w:marLeft w:val="0"/>
                                  <w:marRight w:val="0"/>
                                  <w:marTop w:val="0"/>
                                  <w:marBottom w:val="0"/>
                                  <w:divBdr>
                                    <w:top w:val="none" w:sz="0" w:space="0" w:color="auto"/>
                                    <w:left w:val="none" w:sz="0" w:space="0" w:color="auto"/>
                                    <w:bottom w:val="none" w:sz="0" w:space="0" w:color="auto"/>
                                    <w:right w:val="none" w:sz="0" w:space="0" w:color="auto"/>
                                  </w:divBdr>
                                </w:div>
                                <w:div w:id="417286769">
                                  <w:marLeft w:val="0"/>
                                  <w:marRight w:val="0"/>
                                  <w:marTop w:val="0"/>
                                  <w:marBottom w:val="0"/>
                                  <w:divBdr>
                                    <w:top w:val="none" w:sz="0" w:space="0" w:color="auto"/>
                                    <w:left w:val="none" w:sz="0" w:space="0" w:color="auto"/>
                                    <w:bottom w:val="none" w:sz="0" w:space="0" w:color="auto"/>
                                    <w:right w:val="none" w:sz="0" w:space="0" w:color="auto"/>
                                  </w:divBdr>
                                </w:div>
                                <w:div w:id="1676808562">
                                  <w:marLeft w:val="0"/>
                                  <w:marRight w:val="0"/>
                                  <w:marTop w:val="0"/>
                                  <w:marBottom w:val="0"/>
                                  <w:divBdr>
                                    <w:top w:val="none" w:sz="0" w:space="0" w:color="auto"/>
                                    <w:left w:val="none" w:sz="0" w:space="0" w:color="auto"/>
                                    <w:bottom w:val="none" w:sz="0" w:space="0" w:color="auto"/>
                                    <w:right w:val="none" w:sz="0" w:space="0" w:color="auto"/>
                                  </w:divBdr>
                                </w:div>
                                <w:div w:id="1368530805">
                                  <w:marLeft w:val="0"/>
                                  <w:marRight w:val="0"/>
                                  <w:marTop w:val="0"/>
                                  <w:marBottom w:val="0"/>
                                  <w:divBdr>
                                    <w:top w:val="none" w:sz="0" w:space="0" w:color="auto"/>
                                    <w:left w:val="none" w:sz="0" w:space="0" w:color="auto"/>
                                    <w:bottom w:val="none" w:sz="0" w:space="0" w:color="auto"/>
                                    <w:right w:val="none" w:sz="0" w:space="0" w:color="auto"/>
                                  </w:divBdr>
                                </w:div>
                                <w:div w:id="1365056224">
                                  <w:marLeft w:val="0"/>
                                  <w:marRight w:val="0"/>
                                  <w:marTop w:val="0"/>
                                  <w:marBottom w:val="0"/>
                                  <w:divBdr>
                                    <w:top w:val="none" w:sz="0" w:space="0" w:color="auto"/>
                                    <w:left w:val="none" w:sz="0" w:space="0" w:color="auto"/>
                                    <w:bottom w:val="none" w:sz="0" w:space="0" w:color="auto"/>
                                    <w:right w:val="none" w:sz="0" w:space="0" w:color="auto"/>
                                  </w:divBdr>
                                </w:div>
                                <w:div w:id="469253183">
                                  <w:marLeft w:val="0"/>
                                  <w:marRight w:val="0"/>
                                  <w:marTop w:val="0"/>
                                  <w:marBottom w:val="0"/>
                                  <w:divBdr>
                                    <w:top w:val="none" w:sz="0" w:space="0" w:color="auto"/>
                                    <w:left w:val="none" w:sz="0" w:space="0" w:color="auto"/>
                                    <w:bottom w:val="none" w:sz="0" w:space="0" w:color="auto"/>
                                    <w:right w:val="none" w:sz="0" w:space="0" w:color="auto"/>
                                  </w:divBdr>
                                </w:div>
                                <w:div w:id="1208034151">
                                  <w:marLeft w:val="0"/>
                                  <w:marRight w:val="0"/>
                                  <w:marTop w:val="0"/>
                                  <w:marBottom w:val="0"/>
                                  <w:divBdr>
                                    <w:top w:val="none" w:sz="0" w:space="0" w:color="auto"/>
                                    <w:left w:val="none" w:sz="0" w:space="0" w:color="auto"/>
                                    <w:bottom w:val="none" w:sz="0" w:space="0" w:color="auto"/>
                                    <w:right w:val="none" w:sz="0" w:space="0" w:color="auto"/>
                                  </w:divBdr>
                                </w:div>
                                <w:div w:id="1235968135">
                                  <w:marLeft w:val="0"/>
                                  <w:marRight w:val="0"/>
                                  <w:marTop w:val="0"/>
                                  <w:marBottom w:val="0"/>
                                  <w:divBdr>
                                    <w:top w:val="none" w:sz="0" w:space="0" w:color="auto"/>
                                    <w:left w:val="none" w:sz="0" w:space="0" w:color="auto"/>
                                    <w:bottom w:val="none" w:sz="0" w:space="0" w:color="auto"/>
                                    <w:right w:val="none" w:sz="0" w:space="0" w:color="auto"/>
                                  </w:divBdr>
                                </w:div>
                                <w:div w:id="854733464">
                                  <w:marLeft w:val="0"/>
                                  <w:marRight w:val="0"/>
                                  <w:marTop w:val="0"/>
                                  <w:marBottom w:val="0"/>
                                  <w:divBdr>
                                    <w:top w:val="none" w:sz="0" w:space="0" w:color="auto"/>
                                    <w:left w:val="none" w:sz="0" w:space="0" w:color="auto"/>
                                    <w:bottom w:val="none" w:sz="0" w:space="0" w:color="auto"/>
                                    <w:right w:val="none" w:sz="0" w:space="0" w:color="auto"/>
                                  </w:divBdr>
                                </w:div>
                                <w:div w:id="377781405">
                                  <w:marLeft w:val="0"/>
                                  <w:marRight w:val="0"/>
                                  <w:marTop w:val="0"/>
                                  <w:marBottom w:val="0"/>
                                  <w:divBdr>
                                    <w:top w:val="none" w:sz="0" w:space="0" w:color="auto"/>
                                    <w:left w:val="none" w:sz="0" w:space="0" w:color="auto"/>
                                    <w:bottom w:val="none" w:sz="0" w:space="0" w:color="auto"/>
                                    <w:right w:val="none" w:sz="0" w:space="0" w:color="auto"/>
                                  </w:divBdr>
                                </w:div>
                                <w:div w:id="908272763">
                                  <w:marLeft w:val="0"/>
                                  <w:marRight w:val="0"/>
                                  <w:marTop w:val="0"/>
                                  <w:marBottom w:val="0"/>
                                  <w:divBdr>
                                    <w:top w:val="none" w:sz="0" w:space="0" w:color="auto"/>
                                    <w:left w:val="none" w:sz="0" w:space="0" w:color="auto"/>
                                    <w:bottom w:val="none" w:sz="0" w:space="0" w:color="auto"/>
                                    <w:right w:val="none" w:sz="0" w:space="0" w:color="auto"/>
                                  </w:divBdr>
                                </w:div>
                                <w:div w:id="627395948">
                                  <w:marLeft w:val="0"/>
                                  <w:marRight w:val="0"/>
                                  <w:marTop w:val="0"/>
                                  <w:marBottom w:val="0"/>
                                  <w:divBdr>
                                    <w:top w:val="none" w:sz="0" w:space="0" w:color="auto"/>
                                    <w:left w:val="none" w:sz="0" w:space="0" w:color="auto"/>
                                    <w:bottom w:val="none" w:sz="0" w:space="0" w:color="auto"/>
                                    <w:right w:val="none" w:sz="0" w:space="0" w:color="auto"/>
                                  </w:divBdr>
                                </w:div>
                                <w:div w:id="1245144219">
                                  <w:marLeft w:val="0"/>
                                  <w:marRight w:val="0"/>
                                  <w:marTop w:val="0"/>
                                  <w:marBottom w:val="0"/>
                                  <w:divBdr>
                                    <w:top w:val="none" w:sz="0" w:space="0" w:color="auto"/>
                                    <w:left w:val="none" w:sz="0" w:space="0" w:color="auto"/>
                                    <w:bottom w:val="none" w:sz="0" w:space="0" w:color="auto"/>
                                    <w:right w:val="none" w:sz="0" w:space="0" w:color="auto"/>
                                  </w:divBdr>
                                </w:div>
                                <w:div w:id="823666433">
                                  <w:marLeft w:val="0"/>
                                  <w:marRight w:val="0"/>
                                  <w:marTop w:val="0"/>
                                  <w:marBottom w:val="0"/>
                                  <w:divBdr>
                                    <w:top w:val="none" w:sz="0" w:space="0" w:color="auto"/>
                                    <w:left w:val="none" w:sz="0" w:space="0" w:color="auto"/>
                                    <w:bottom w:val="none" w:sz="0" w:space="0" w:color="auto"/>
                                    <w:right w:val="none" w:sz="0" w:space="0" w:color="auto"/>
                                  </w:divBdr>
                                </w:div>
                                <w:div w:id="1527257712">
                                  <w:marLeft w:val="0"/>
                                  <w:marRight w:val="0"/>
                                  <w:marTop w:val="0"/>
                                  <w:marBottom w:val="0"/>
                                  <w:divBdr>
                                    <w:top w:val="none" w:sz="0" w:space="0" w:color="auto"/>
                                    <w:left w:val="none" w:sz="0" w:space="0" w:color="auto"/>
                                    <w:bottom w:val="none" w:sz="0" w:space="0" w:color="auto"/>
                                    <w:right w:val="none" w:sz="0" w:space="0" w:color="auto"/>
                                  </w:divBdr>
                                </w:div>
                                <w:div w:id="1052926414">
                                  <w:marLeft w:val="0"/>
                                  <w:marRight w:val="0"/>
                                  <w:marTop w:val="0"/>
                                  <w:marBottom w:val="0"/>
                                  <w:divBdr>
                                    <w:top w:val="none" w:sz="0" w:space="0" w:color="auto"/>
                                    <w:left w:val="none" w:sz="0" w:space="0" w:color="auto"/>
                                    <w:bottom w:val="none" w:sz="0" w:space="0" w:color="auto"/>
                                    <w:right w:val="none" w:sz="0" w:space="0" w:color="auto"/>
                                  </w:divBdr>
                                </w:div>
                                <w:div w:id="1040669355">
                                  <w:marLeft w:val="0"/>
                                  <w:marRight w:val="0"/>
                                  <w:marTop w:val="0"/>
                                  <w:marBottom w:val="0"/>
                                  <w:divBdr>
                                    <w:top w:val="none" w:sz="0" w:space="0" w:color="auto"/>
                                    <w:left w:val="none" w:sz="0" w:space="0" w:color="auto"/>
                                    <w:bottom w:val="none" w:sz="0" w:space="0" w:color="auto"/>
                                    <w:right w:val="none" w:sz="0" w:space="0" w:color="auto"/>
                                  </w:divBdr>
                                </w:div>
                                <w:div w:id="1728914446">
                                  <w:marLeft w:val="0"/>
                                  <w:marRight w:val="0"/>
                                  <w:marTop w:val="0"/>
                                  <w:marBottom w:val="0"/>
                                  <w:divBdr>
                                    <w:top w:val="none" w:sz="0" w:space="0" w:color="auto"/>
                                    <w:left w:val="none" w:sz="0" w:space="0" w:color="auto"/>
                                    <w:bottom w:val="none" w:sz="0" w:space="0" w:color="auto"/>
                                    <w:right w:val="none" w:sz="0" w:space="0" w:color="auto"/>
                                  </w:divBdr>
                                </w:div>
                                <w:div w:id="840390429">
                                  <w:marLeft w:val="0"/>
                                  <w:marRight w:val="0"/>
                                  <w:marTop w:val="0"/>
                                  <w:marBottom w:val="0"/>
                                  <w:divBdr>
                                    <w:top w:val="none" w:sz="0" w:space="0" w:color="auto"/>
                                    <w:left w:val="none" w:sz="0" w:space="0" w:color="auto"/>
                                    <w:bottom w:val="none" w:sz="0" w:space="0" w:color="auto"/>
                                    <w:right w:val="none" w:sz="0" w:space="0" w:color="auto"/>
                                  </w:divBdr>
                                </w:div>
                                <w:div w:id="617222059">
                                  <w:marLeft w:val="0"/>
                                  <w:marRight w:val="0"/>
                                  <w:marTop w:val="0"/>
                                  <w:marBottom w:val="0"/>
                                  <w:divBdr>
                                    <w:top w:val="none" w:sz="0" w:space="0" w:color="auto"/>
                                    <w:left w:val="none" w:sz="0" w:space="0" w:color="auto"/>
                                    <w:bottom w:val="none" w:sz="0" w:space="0" w:color="auto"/>
                                    <w:right w:val="none" w:sz="0" w:space="0" w:color="auto"/>
                                  </w:divBdr>
                                </w:div>
                                <w:div w:id="424036081">
                                  <w:marLeft w:val="0"/>
                                  <w:marRight w:val="0"/>
                                  <w:marTop w:val="0"/>
                                  <w:marBottom w:val="0"/>
                                  <w:divBdr>
                                    <w:top w:val="none" w:sz="0" w:space="0" w:color="auto"/>
                                    <w:left w:val="none" w:sz="0" w:space="0" w:color="auto"/>
                                    <w:bottom w:val="none" w:sz="0" w:space="0" w:color="auto"/>
                                    <w:right w:val="none" w:sz="0" w:space="0" w:color="auto"/>
                                  </w:divBdr>
                                </w:div>
                                <w:div w:id="594368097">
                                  <w:marLeft w:val="0"/>
                                  <w:marRight w:val="0"/>
                                  <w:marTop w:val="0"/>
                                  <w:marBottom w:val="0"/>
                                  <w:divBdr>
                                    <w:top w:val="none" w:sz="0" w:space="0" w:color="auto"/>
                                    <w:left w:val="none" w:sz="0" w:space="0" w:color="auto"/>
                                    <w:bottom w:val="none" w:sz="0" w:space="0" w:color="auto"/>
                                    <w:right w:val="none" w:sz="0" w:space="0" w:color="auto"/>
                                  </w:divBdr>
                                </w:div>
                                <w:div w:id="1565096744">
                                  <w:marLeft w:val="0"/>
                                  <w:marRight w:val="0"/>
                                  <w:marTop w:val="0"/>
                                  <w:marBottom w:val="0"/>
                                  <w:divBdr>
                                    <w:top w:val="none" w:sz="0" w:space="0" w:color="auto"/>
                                    <w:left w:val="none" w:sz="0" w:space="0" w:color="auto"/>
                                    <w:bottom w:val="none" w:sz="0" w:space="0" w:color="auto"/>
                                    <w:right w:val="none" w:sz="0" w:space="0" w:color="auto"/>
                                  </w:divBdr>
                                </w:div>
                                <w:div w:id="1701542077">
                                  <w:marLeft w:val="0"/>
                                  <w:marRight w:val="0"/>
                                  <w:marTop w:val="0"/>
                                  <w:marBottom w:val="0"/>
                                  <w:divBdr>
                                    <w:top w:val="none" w:sz="0" w:space="0" w:color="auto"/>
                                    <w:left w:val="none" w:sz="0" w:space="0" w:color="auto"/>
                                    <w:bottom w:val="none" w:sz="0" w:space="0" w:color="auto"/>
                                    <w:right w:val="none" w:sz="0" w:space="0" w:color="auto"/>
                                  </w:divBdr>
                                </w:div>
                                <w:div w:id="307905537">
                                  <w:marLeft w:val="0"/>
                                  <w:marRight w:val="0"/>
                                  <w:marTop w:val="0"/>
                                  <w:marBottom w:val="0"/>
                                  <w:divBdr>
                                    <w:top w:val="none" w:sz="0" w:space="0" w:color="auto"/>
                                    <w:left w:val="none" w:sz="0" w:space="0" w:color="auto"/>
                                    <w:bottom w:val="none" w:sz="0" w:space="0" w:color="auto"/>
                                    <w:right w:val="none" w:sz="0" w:space="0" w:color="auto"/>
                                  </w:divBdr>
                                </w:div>
                                <w:div w:id="1890192302">
                                  <w:marLeft w:val="0"/>
                                  <w:marRight w:val="0"/>
                                  <w:marTop w:val="0"/>
                                  <w:marBottom w:val="0"/>
                                  <w:divBdr>
                                    <w:top w:val="none" w:sz="0" w:space="0" w:color="auto"/>
                                    <w:left w:val="none" w:sz="0" w:space="0" w:color="auto"/>
                                    <w:bottom w:val="none" w:sz="0" w:space="0" w:color="auto"/>
                                    <w:right w:val="none" w:sz="0" w:space="0" w:color="auto"/>
                                  </w:divBdr>
                                </w:div>
                                <w:div w:id="669022436">
                                  <w:marLeft w:val="0"/>
                                  <w:marRight w:val="0"/>
                                  <w:marTop w:val="0"/>
                                  <w:marBottom w:val="0"/>
                                  <w:divBdr>
                                    <w:top w:val="none" w:sz="0" w:space="0" w:color="auto"/>
                                    <w:left w:val="none" w:sz="0" w:space="0" w:color="auto"/>
                                    <w:bottom w:val="none" w:sz="0" w:space="0" w:color="auto"/>
                                    <w:right w:val="none" w:sz="0" w:space="0" w:color="auto"/>
                                  </w:divBdr>
                                </w:div>
                                <w:div w:id="1899852580">
                                  <w:marLeft w:val="0"/>
                                  <w:marRight w:val="0"/>
                                  <w:marTop w:val="0"/>
                                  <w:marBottom w:val="0"/>
                                  <w:divBdr>
                                    <w:top w:val="none" w:sz="0" w:space="0" w:color="auto"/>
                                    <w:left w:val="none" w:sz="0" w:space="0" w:color="auto"/>
                                    <w:bottom w:val="none" w:sz="0" w:space="0" w:color="auto"/>
                                    <w:right w:val="none" w:sz="0" w:space="0" w:color="auto"/>
                                  </w:divBdr>
                                </w:div>
                                <w:div w:id="1726682789">
                                  <w:marLeft w:val="0"/>
                                  <w:marRight w:val="0"/>
                                  <w:marTop w:val="0"/>
                                  <w:marBottom w:val="0"/>
                                  <w:divBdr>
                                    <w:top w:val="none" w:sz="0" w:space="0" w:color="auto"/>
                                    <w:left w:val="none" w:sz="0" w:space="0" w:color="auto"/>
                                    <w:bottom w:val="none" w:sz="0" w:space="0" w:color="auto"/>
                                    <w:right w:val="none" w:sz="0" w:space="0" w:color="auto"/>
                                  </w:divBdr>
                                </w:div>
                                <w:div w:id="1407611989">
                                  <w:marLeft w:val="0"/>
                                  <w:marRight w:val="0"/>
                                  <w:marTop w:val="0"/>
                                  <w:marBottom w:val="0"/>
                                  <w:divBdr>
                                    <w:top w:val="none" w:sz="0" w:space="0" w:color="auto"/>
                                    <w:left w:val="none" w:sz="0" w:space="0" w:color="auto"/>
                                    <w:bottom w:val="none" w:sz="0" w:space="0" w:color="auto"/>
                                    <w:right w:val="none" w:sz="0" w:space="0" w:color="auto"/>
                                  </w:divBdr>
                                </w:div>
                                <w:div w:id="359480301">
                                  <w:marLeft w:val="0"/>
                                  <w:marRight w:val="0"/>
                                  <w:marTop w:val="0"/>
                                  <w:marBottom w:val="0"/>
                                  <w:divBdr>
                                    <w:top w:val="none" w:sz="0" w:space="0" w:color="auto"/>
                                    <w:left w:val="none" w:sz="0" w:space="0" w:color="auto"/>
                                    <w:bottom w:val="none" w:sz="0" w:space="0" w:color="auto"/>
                                    <w:right w:val="none" w:sz="0" w:space="0" w:color="auto"/>
                                  </w:divBdr>
                                </w:div>
                                <w:div w:id="246614395">
                                  <w:marLeft w:val="0"/>
                                  <w:marRight w:val="0"/>
                                  <w:marTop w:val="0"/>
                                  <w:marBottom w:val="0"/>
                                  <w:divBdr>
                                    <w:top w:val="none" w:sz="0" w:space="0" w:color="auto"/>
                                    <w:left w:val="none" w:sz="0" w:space="0" w:color="auto"/>
                                    <w:bottom w:val="none" w:sz="0" w:space="0" w:color="auto"/>
                                    <w:right w:val="none" w:sz="0" w:space="0" w:color="auto"/>
                                  </w:divBdr>
                                </w:div>
                                <w:div w:id="1082486231">
                                  <w:marLeft w:val="0"/>
                                  <w:marRight w:val="0"/>
                                  <w:marTop w:val="0"/>
                                  <w:marBottom w:val="0"/>
                                  <w:divBdr>
                                    <w:top w:val="none" w:sz="0" w:space="0" w:color="auto"/>
                                    <w:left w:val="none" w:sz="0" w:space="0" w:color="auto"/>
                                    <w:bottom w:val="none" w:sz="0" w:space="0" w:color="auto"/>
                                    <w:right w:val="none" w:sz="0" w:space="0" w:color="auto"/>
                                  </w:divBdr>
                                </w:div>
                                <w:div w:id="1971470456">
                                  <w:marLeft w:val="0"/>
                                  <w:marRight w:val="0"/>
                                  <w:marTop w:val="0"/>
                                  <w:marBottom w:val="0"/>
                                  <w:divBdr>
                                    <w:top w:val="none" w:sz="0" w:space="0" w:color="auto"/>
                                    <w:left w:val="none" w:sz="0" w:space="0" w:color="auto"/>
                                    <w:bottom w:val="none" w:sz="0" w:space="0" w:color="auto"/>
                                    <w:right w:val="none" w:sz="0" w:space="0" w:color="auto"/>
                                  </w:divBdr>
                                </w:div>
                                <w:div w:id="1358657556">
                                  <w:marLeft w:val="0"/>
                                  <w:marRight w:val="0"/>
                                  <w:marTop w:val="0"/>
                                  <w:marBottom w:val="0"/>
                                  <w:divBdr>
                                    <w:top w:val="none" w:sz="0" w:space="0" w:color="auto"/>
                                    <w:left w:val="none" w:sz="0" w:space="0" w:color="auto"/>
                                    <w:bottom w:val="none" w:sz="0" w:space="0" w:color="auto"/>
                                    <w:right w:val="none" w:sz="0" w:space="0" w:color="auto"/>
                                  </w:divBdr>
                                </w:div>
                                <w:div w:id="1264722282">
                                  <w:marLeft w:val="0"/>
                                  <w:marRight w:val="0"/>
                                  <w:marTop w:val="0"/>
                                  <w:marBottom w:val="0"/>
                                  <w:divBdr>
                                    <w:top w:val="none" w:sz="0" w:space="0" w:color="auto"/>
                                    <w:left w:val="none" w:sz="0" w:space="0" w:color="auto"/>
                                    <w:bottom w:val="none" w:sz="0" w:space="0" w:color="auto"/>
                                    <w:right w:val="none" w:sz="0" w:space="0" w:color="auto"/>
                                  </w:divBdr>
                                </w:div>
                                <w:div w:id="2109032920">
                                  <w:marLeft w:val="0"/>
                                  <w:marRight w:val="0"/>
                                  <w:marTop w:val="0"/>
                                  <w:marBottom w:val="0"/>
                                  <w:divBdr>
                                    <w:top w:val="none" w:sz="0" w:space="0" w:color="auto"/>
                                    <w:left w:val="none" w:sz="0" w:space="0" w:color="auto"/>
                                    <w:bottom w:val="none" w:sz="0" w:space="0" w:color="auto"/>
                                    <w:right w:val="none" w:sz="0" w:space="0" w:color="auto"/>
                                  </w:divBdr>
                                </w:div>
                                <w:div w:id="55126162">
                                  <w:marLeft w:val="0"/>
                                  <w:marRight w:val="0"/>
                                  <w:marTop w:val="0"/>
                                  <w:marBottom w:val="0"/>
                                  <w:divBdr>
                                    <w:top w:val="none" w:sz="0" w:space="0" w:color="auto"/>
                                    <w:left w:val="none" w:sz="0" w:space="0" w:color="auto"/>
                                    <w:bottom w:val="none" w:sz="0" w:space="0" w:color="auto"/>
                                    <w:right w:val="none" w:sz="0" w:space="0" w:color="auto"/>
                                  </w:divBdr>
                                </w:div>
                                <w:div w:id="1977030474">
                                  <w:marLeft w:val="0"/>
                                  <w:marRight w:val="0"/>
                                  <w:marTop w:val="0"/>
                                  <w:marBottom w:val="0"/>
                                  <w:divBdr>
                                    <w:top w:val="none" w:sz="0" w:space="0" w:color="auto"/>
                                    <w:left w:val="none" w:sz="0" w:space="0" w:color="auto"/>
                                    <w:bottom w:val="none" w:sz="0" w:space="0" w:color="auto"/>
                                    <w:right w:val="none" w:sz="0" w:space="0" w:color="auto"/>
                                  </w:divBdr>
                                </w:div>
                                <w:div w:id="128985157">
                                  <w:marLeft w:val="0"/>
                                  <w:marRight w:val="0"/>
                                  <w:marTop w:val="0"/>
                                  <w:marBottom w:val="0"/>
                                  <w:divBdr>
                                    <w:top w:val="none" w:sz="0" w:space="0" w:color="auto"/>
                                    <w:left w:val="none" w:sz="0" w:space="0" w:color="auto"/>
                                    <w:bottom w:val="none" w:sz="0" w:space="0" w:color="auto"/>
                                    <w:right w:val="none" w:sz="0" w:space="0" w:color="auto"/>
                                  </w:divBdr>
                                </w:div>
                                <w:div w:id="1779907206">
                                  <w:marLeft w:val="0"/>
                                  <w:marRight w:val="0"/>
                                  <w:marTop w:val="0"/>
                                  <w:marBottom w:val="0"/>
                                  <w:divBdr>
                                    <w:top w:val="none" w:sz="0" w:space="0" w:color="auto"/>
                                    <w:left w:val="none" w:sz="0" w:space="0" w:color="auto"/>
                                    <w:bottom w:val="none" w:sz="0" w:space="0" w:color="auto"/>
                                    <w:right w:val="none" w:sz="0" w:space="0" w:color="auto"/>
                                  </w:divBdr>
                                </w:div>
                                <w:div w:id="897975281">
                                  <w:marLeft w:val="0"/>
                                  <w:marRight w:val="0"/>
                                  <w:marTop w:val="0"/>
                                  <w:marBottom w:val="0"/>
                                  <w:divBdr>
                                    <w:top w:val="none" w:sz="0" w:space="0" w:color="auto"/>
                                    <w:left w:val="none" w:sz="0" w:space="0" w:color="auto"/>
                                    <w:bottom w:val="none" w:sz="0" w:space="0" w:color="auto"/>
                                    <w:right w:val="none" w:sz="0" w:space="0" w:color="auto"/>
                                  </w:divBdr>
                                </w:div>
                                <w:div w:id="1003356956">
                                  <w:marLeft w:val="0"/>
                                  <w:marRight w:val="0"/>
                                  <w:marTop w:val="0"/>
                                  <w:marBottom w:val="0"/>
                                  <w:divBdr>
                                    <w:top w:val="none" w:sz="0" w:space="0" w:color="auto"/>
                                    <w:left w:val="none" w:sz="0" w:space="0" w:color="auto"/>
                                    <w:bottom w:val="none" w:sz="0" w:space="0" w:color="auto"/>
                                    <w:right w:val="none" w:sz="0" w:space="0" w:color="auto"/>
                                  </w:divBdr>
                                </w:div>
                                <w:div w:id="1377240404">
                                  <w:marLeft w:val="0"/>
                                  <w:marRight w:val="0"/>
                                  <w:marTop w:val="0"/>
                                  <w:marBottom w:val="0"/>
                                  <w:divBdr>
                                    <w:top w:val="none" w:sz="0" w:space="0" w:color="auto"/>
                                    <w:left w:val="none" w:sz="0" w:space="0" w:color="auto"/>
                                    <w:bottom w:val="none" w:sz="0" w:space="0" w:color="auto"/>
                                    <w:right w:val="none" w:sz="0" w:space="0" w:color="auto"/>
                                  </w:divBdr>
                                </w:div>
                                <w:div w:id="1622303538">
                                  <w:marLeft w:val="0"/>
                                  <w:marRight w:val="0"/>
                                  <w:marTop w:val="0"/>
                                  <w:marBottom w:val="0"/>
                                  <w:divBdr>
                                    <w:top w:val="none" w:sz="0" w:space="0" w:color="auto"/>
                                    <w:left w:val="none" w:sz="0" w:space="0" w:color="auto"/>
                                    <w:bottom w:val="none" w:sz="0" w:space="0" w:color="auto"/>
                                    <w:right w:val="none" w:sz="0" w:space="0" w:color="auto"/>
                                  </w:divBdr>
                                </w:div>
                                <w:div w:id="218715301">
                                  <w:marLeft w:val="0"/>
                                  <w:marRight w:val="0"/>
                                  <w:marTop w:val="0"/>
                                  <w:marBottom w:val="0"/>
                                  <w:divBdr>
                                    <w:top w:val="none" w:sz="0" w:space="0" w:color="auto"/>
                                    <w:left w:val="none" w:sz="0" w:space="0" w:color="auto"/>
                                    <w:bottom w:val="none" w:sz="0" w:space="0" w:color="auto"/>
                                    <w:right w:val="none" w:sz="0" w:space="0" w:color="auto"/>
                                  </w:divBdr>
                                </w:div>
                                <w:div w:id="1768960045">
                                  <w:marLeft w:val="0"/>
                                  <w:marRight w:val="0"/>
                                  <w:marTop w:val="0"/>
                                  <w:marBottom w:val="0"/>
                                  <w:divBdr>
                                    <w:top w:val="none" w:sz="0" w:space="0" w:color="auto"/>
                                    <w:left w:val="none" w:sz="0" w:space="0" w:color="auto"/>
                                    <w:bottom w:val="none" w:sz="0" w:space="0" w:color="auto"/>
                                    <w:right w:val="none" w:sz="0" w:space="0" w:color="auto"/>
                                  </w:divBdr>
                                </w:div>
                                <w:div w:id="1085492965">
                                  <w:marLeft w:val="0"/>
                                  <w:marRight w:val="0"/>
                                  <w:marTop w:val="0"/>
                                  <w:marBottom w:val="0"/>
                                  <w:divBdr>
                                    <w:top w:val="none" w:sz="0" w:space="0" w:color="auto"/>
                                    <w:left w:val="none" w:sz="0" w:space="0" w:color="auto"/>
                                    <w:bottom w:val="none" w:sz="0" w:space="0" w:color="auto"/>
                                    <w:right w:val="none" w:sz="0" w:space="0" w:color="auto"/>
                                  </w:divBdr>
                                </w:div>
                                <w:div w:id="1145464511">
                                  <w:marLeft w:val="0"/>
                                  <w:marRight w:val="0"/>
                                  <w:marTop w:val="0"/>
                                  <w:marBottom w:val="0"/>
                                  <w:divBdr>
                                    <w:top w:val="none" w:sz="0" w:space="0" w:color="auto"/>
                                    <w:left w:val="none" w:sz="0" w:space="0" w:color="auto"/>
                                    <w:bottom w:val="none" w:sz="0" w:space="0" w:color="auto"/>
                                    <w:right w:val="none" w:sz="0" w:space="0" w:color="auto"/>
                                  </w:divBdr>
                                </w:div>
                                <w:div w:id="1722711020">
                                  <w:marLeft w:val="0"/>
                                  <w:marRight w:val="0"/>
                                  <w:marTop w:val="0"/>
                                  <w:marBottom w:val="0"/>
                                  <w:divBdr>
                                    <w:top w:val="none" w:sz="0" w:space="0" w:color="auto"/>
                                    <w:left w:val="none" w:sz="0" w:space="0" w:color="auto"/>
                                    <w:bottom w:val="none" w:sz="0" w:space="0" w:color="auto"/>
                                    <w:right w:val="none" w:sz="0" w:space="0" w:color="auto"/>
                                  </w:divBdr>
                                </w:div>
                                <w:div w:id="1129543777">
                                  <w:marLeft w:val="0"/>
                                  <w:marRight w:val="0"/>
                                  <w:marTop w:val="0"/>
                                  <w:marBottom w:val="0"/>
                                  <w:divBdr>
                                    <w:top w:val="none" w:sz="0" w:space="0" w:color="auto"/>
                                    <w:left w:val="none" w:sz="0" w:space="0" w:color="auto"/>
                                    <w:bottom w:val="none" w:sz="0" w:space="0" w:color="auto"/>
                                    <w:right w:val="none" w:sz="0" w:space="0" w:color="auto"/>
                                  </w:divBdr>
                                </w:div>
                                <w:div w:id="1476800137">
                                  <w:marLeft w:val="0"/>
                                  <w:marRight w:val="0"/>
                                  <w:marTop w:val="0"/>
                                  <w:marBottom w:val="0"/>
                                  <w:divBdr>
                                    <w:top w:val="none" w:sz="0" w:space="0" w:color="auto"/>
                                    <w:left w:val="none" w:sz="0" w:space="0" w:color="auto"/>
                                    <w:bottom w:val="none" w:sz="0" w:space="0" w:color="auto"/>
                                    <w:right w:val="none" w:sz="0" w:space="0" w:color="auto"/>
                                  </w:divBdr>
                                </w:div>
                                <w:div w:id="1344357927">
                                  <w:marLeft w:val="0"/>
                                  <w:marRight w:val="0"/>
                                  <w:marTop w:val="0"/>
                                  <w:marBottom w:val="0"/>
                                  <w:divBdr>
                                    <w:top w:val="none" w:sz="0" w:space="0" w:color="auto"/>
                                    <w:left w:val="none" w:sz="0" w:space="0" w:color="auto"/>
                                    <w:bottom w:val="none" w:sz="0" w:space="0" w:color="auto"/>
                                    <w:right w:val="none" w:sz="0" w:space="0" w:color="auto"/>
                                  </w:divBdr>
                                </w:div>
                                <w:div w:id="1455825168">
                                  <w:marLeft w:val="0"/>
                                  <w:marRight w:val="0"/>
                                  <w:marTop w:val="0"/>
                                  <w:marBottom w:val="0"/>
                                  <w:divBdr>
                                    <w:top w:val="none" w:sz="0" w:space="0" w:color="auto"/>
                                    <w:left w:val="none" w:sz="0" w:space="0" w:color="auto"/>
                                    <w:bottom w:val="none" w:sz="0" w:space="0" w:color="auto"/>
                                    <w:right w:val="none" w:sz="0" w:space="0" w:color="auto"/>
                                  </w:divBdr>
                                </w:div>
                                <w:div w:id="2134639516">
                                  <w:marLeft w:val="0"/>
                                  <w:marRight w:val="0"/>
                                  <w:marTop w:val="0"/>
                                  <w:marBottom w:val="0"/>
                                  <w:divBdr>
                                    <w:top w:val="none" w:sz="0" w:space="0" w:color="auto"/>
                                    <w:left w:val="none" w:sz="0" w:space="0" w:color="auto"/>
                                    <w:bottom w:val="none" w:sz="0" w:space="0" w:color="auto"/>
                                    <w:right w:val="none" w:sz="0" w:space="0" w:color="auto"/>
                                  </w:divBdr>
                                </w:div>
                                <w:div w:id="111360999">
                                  <w:marLeft w:val="0"/>
                                  <w:marRight w:val="0"/>
                                  <w:marTop w:val="0"/>
                                  <w:marBottom w:val="0"/>
                                  <w:divBdr>
                                    <w:top w:val="none" w:sz="0" w:space="0" w:color="auto"/>
                                    <w:left w:val="none" w:sz="0" w:space="0" w:color="auto"/>
                                    <w:bottom w:val="none" w:sz="0" w:space="0" w:color="auto"/>
                                    <w:right w:val="none" w:sz="0" w:space="0" w:color="auto"/>
                                  </w:divBdr>
                                </w:div>
                                <w:div w:id="888568525">
                                  <w:marLeft w:val="0"/>
                                  <w:marRight w:val="0"/>
                                  <w:marTop w:val="0"/>
                                  <w:marBottom w:val="0"/>
                                  <w:divBdr>
                                    <w:top w:val="none" w:sz="0" w:space="0" w:color="auto"/>
                                    <w:left w:val="none" w:sz="0" w:space="0" w:color="auto"/>
                                    <w:bottom w:val="none" w:sz="0" w:space="0" w:color="auto"/>
                                    <w:right w:val="none" w:sz="0" w:space="0" w:color="auto"/>
                                  </w:divBdr>
                                </w:div>
                                <w:div w:id="684554794">
                                  <w:marLeft w:val="0"/>
                                  <w:marRight w:val="0"/>
                                  <w:marTop w:val="0"/>
                                  <w:marBottom w:val="0"/>
                                  <w:divBdr>
                                    <w:top w:val="none" w:sz="0" w:space="0" w:color="auto"/>
                                    <w:left w:val="none" w:sz="0" w:space="0" w:color="auto"/>
                                    <w:bottom w:val="none" w:sz="0" w:space="0" w:color="auto"/>
                                    <w:right w:val="none" w:sz="0" w:space="0" w:color="auto"/>
                                  </w:divBdr>
                                </w:div>
                                <w:div w:id="1185707584">
                                  <w:marLeft w:val="0"/>
                                  <w:marRight w:val="0"/>
                                  <w:marTop w:val="0"/>
                                  <w:marBottom w:val="0"/>
                                  <w:divBdr>
                                    <w:top w:val="none" w:sz="0" w:space="0" w:color="auto"/>
                                    <w:left w:val="none" w:sz="0" w:space="0" w:color="auto"/>
                                    <w:bottom w:val="none" w:sz="0" w:space="0" w:color="auto"/>
                                    <w:right w:val="none" w:sz="0" w:space="0" w:color="auto"/>
                                  </w:divBdr>
                                </w:div>
                                <w:div w:id="763376686">
                                  <w:marLeft w:val="0"/>
                                  <w:marRight w:val="0"/>
                                  <w:marTop w:val="0"/>
                                  <w:marBottom w:val="0"/>
                                  <w:divBdr>
                                    <w:top w:val="none" w:sz="0" w:space="0" w:color="auto"/>
                                    <w:left w:val="none" w:sz="0" w:space="0" w:color="auto"/>
                                    <w:bottom w:val="none" w:sz="0" w:space="0" w:color="auto"/>
                                    <w:right w:val="none" w:sz="0" w:space="0" w:color="auto"/>
                                  </w:divBdr>
                                </w:div>
                                <w:div w:id="1757551304">
                                  <w:marLeft w:val="0"/>
                                  <w:marRight w:val="0"/>
                                  <w:marTop w:val="0"/>
                                  <w:marBottom w:val="0"/>
                                  <w:divBdr>
                                    <w:top w:val="none" w:sz="0" w:space="0" w:color="auto"/>
                                    <w:left w:val="none" w:sz="0" w:space="0" w:color="auto"/>
                                    <w:bottom w:val="none" w:sz="0" w:space="0" w:color="auto"/>
                                    <w:right w:val="none" w:sz="0" w:space="0" w:color="auto"/>
                                  </w:divBdr>
                                </w:div>
                                <w:div w:id="104618717">
                                  <w:marLeft w:val="0"/>
                                  <w:marRight w:val="0"/>
                                  <w:marTop w:val="0"/>
                                  <w:marBottom w:val="0"/>
                                  <w:divBdr>
                                    <w:top w:val="none" w:sz="0" w:space="0" w:color="auto"/>
                                    <w:left w:val="none" w:sz="0" w:space="0" w:color="auto"/>
                                    <w:bottom w:val="none" w:sz="0" w:space="0" w:color="auto"/>
                                    <w:right w:val="none" w:sz="0" w:space="0" w:color="auto"/>
                                  </w:divBdr>
                                </w:div>
                                <w:div w:id="1850943164">
                                  <w:marLeft w:val="0"/>
                                  <w:marRight w:val="0"/>
                                  <w:marTop w:val="0"/>
                                  <w:marBottom w:val="0"/>
                                  <w:divBdr>
                                    <w:top w:val="none" w:sz="0" w:space="0" w:color="auto"/>
                                    <w:left w:val="none" w:sz="0" w:space="0" w:color="auto"/>
                                    <w:bottom w:val="none" w:sz="0" w:space="0" w:color="auto"/>
                                    <w:right w:val="none" w:sz="0" w:space="0" w:color="auto"/>
                                  </w:divBdr>
                                </w:div>
                                <w:div w:id="141233937">
                                  <w:marLeft w:val="0"/>
                                  <w:marRight w:val="0"/>
                                  <w:marTop w:val="0"/>
                                  <w:marBottom w:val="0"/>
                                  <w:divBdr>
                                    <w:top w:val="none" w:sz="0" w:space="0" w:color="auto"/>
                                    <w:left w:val="none" w:sz="0" w:space="0" w:color="auto"/>
                                    <w:bottom w:val="none" w:sz="0" w:space="0" w:color="auto"/>
                                    <w:right w:val="none" w:sz="0" w:space="0" w:color="auto"/>
                                  </w:divBdr>
                                </w:div>
                                <w:div w:id="2114981123">
                                  <w:marLeft w:val="0"/>
                                  <w:marRight w:val="0"/>
                                  <w:marTop w:val="0"/>
                                  <w:marBottom w:val="0"/>
                                  <w:divBdr>
                                    <w:top w:val="none" w:sz="0" w:space="0" w:color="auto"/>
                                    <w:left w:val="none" w:sz="0" w:space="0" w:color="auto"/>
                                    <w:bottom w:val="none" w:sz="0" w:space="0" w:color="auto"/>
                                    <w:right w:val="none" w:sz="0" w:space="0" w:color="auto"/>
                                  </w:divBdr>
                                </w:div>
                                <w:div w:id="796525803">
                                  <w:marLeft w:val="0"/>
                                  <w:marRight w:val="0"/>
                                  <w:marTop w:val="0"/>
                                  <w:marBottom w:val="0"/>
                                  <w:divBdr>
                                    <w:top w:val="none" w:sz="0" w:space="0" w:color="auto"/>
                                    <w:left w:val="none" w:sz="0" w:space="0" w:color="auto"/>
                                    <w:bottom w:val="none" w:sz="0" w:space="0" w:color="auto"/>
                                    <w:right w:val="none" w:sz="0" w:space="0" w:color="auto"/>
                                  </w:divBdr>
                                </w:div>
                                <w:div w:id="1205941118">
                                  <w:marLeft w:val="0"/>
                                  <w:marRight w:val="0"/>
                                  <w:marTop w:val="0"/>
                                  <w:marBottom w:val="0"/>
                                  <w:divBdr>
                                    <w:top w:val="none" w:sz="0" w:space="0" w:color="auto"/>
                                    <w:left w:val="none" w:sz="0" w:space="0" w:color="auto"/>
                                    <w:bottom w:val="none" w:sz="0" w:space="0" w:color="auto"/>
                                    <w:right w:val="none" w:sz="0" w:space="0" w:color="auto"/>
                                  </w:divBdr>
                                </w:div>
                                <w:div w:id="1947880795">
                                  <w:marLeft w:val="0"/>
                                  <w:marRight w:val="0"/>
                                  <w:marTop w:val="0"/>
                                  <w:marBottom w:val="0"/>
                                  <w:divBdr>
                                    <w:top w:val="none" w:sz="0" w:space="0" w:color="auto"/>
                                    <w:left w:val="none" w:sz="0" w:space="0" w:color="auto"/>
                                    <w:bottom w:val="none" w:sz="0" w:space="0" w:color="auto"/>
                                    <w:right w:val="none" w:sz="0" w:space="0" w:color="auto"/>
                                  </w:divBdr>
                                </w:div>
                                <w:div w:id="1185633387">
                                  <w:marLeft w:val="0"/>
                                  <w:marRight w:val="0"/>
                                  <w:marTop w:val="0"/>
                                  <w:marBottom w:val="0"/>
                                  <w:divBdr>
                                    <w:top w:val="none" w:sz="0" w:space="0" w:color="auto"/>
                                    <w:left w:val="none" w:sz="0" w:space="0" w:color="auto"/>
                                    <w:bottom w:val="none" w:sz="0" w:space="0" w:color="auto"/>
                                    <w:right w:val="none" w:sz="0" w:space="0" w:color="auto"/>
                                  </w:divBdr>
                                </w:div>
                                <w:div w:id="687679398">
                                  <w:marLeft w:val="0"/>
                                  <w:marRight w:val="0"/>
                                  <w:marTop w:val="0"/>
                                  <w:marBottom w:val="0"/>
                                  <w:divBdr>
                                    <w:top w:val="none" w:sz="0" w:space="0" w:color="auto"/>
                                    <w:left w:val="none" w:sz="0" w:space="0" w:color="auto"/>
                                    <w:bottom w:val="none" w:sz="0" w:space="0" w:color="auto"/>
                                    <w:right w:val="none" w:sz="0" w:space="0" w:color="auto"/>
                                  </w:divBdr>
                                </w:div>
                                <w:div w:id="621232327">
                                  <w:marLeft w:val="0"/>
                                  <w:marRight w:val="0"/>
                                  <w:marTop w:val="0"/>
                                  <w:marBottom w:val="0"/>
                                  <w:divBdr>
                                    <w:top w:val="none" w:sz="0" w:space="0" w:color="auto"/>
                                    <w:left w:val="none" w:sz="0" w:space="0" w:color="auto"/>
                                    <w:bottom w:val="none" w:sz="0" w:space="0" w:color="auto"/>
                                    <w:right w:val="none" w:sz="0" w:space="0" w:color="auto"/>
                                  </w:divBdr>
                                </w:div>
                                <w:div w:id="852961868">
                                  <w:marLeft w:val="0"/>
                                  <w:marRight w:val="0"/>
                                  <w:marTop w:val="0"/>
                                  <w:marBottom w:val="0"/>
                                  <w:divBdr>
                                    <w:top w:val="none" w:sz="0" w:space="0" w:color="auto"/>
                                    <w:left w:val="none" w:sz="0" w:space="0" w:color="auto"/>
                                    <w:bottom w:val="none" w:sz="0" w:space="0" w:color="auto"/>
                                    <w:right w:val="none" w:sz="0" w:space="0" w:color="auto"/>
                                  </w:divBdr>
                                </w:div>
                                <w:div w:id="670720792">
                                  <w:marLeft w:val="0"/>
                                  <w:marRight w:val="0"/>
                                  <w:marTop w:val="0"/>
                                  <w:marBottom w:val="0"/>
                                  <w:divBdr>
                                    <w:top w:val="none" w:sz="0" w:space="0" w:color="auto"/>
                                    <w:left w:val="none" w:sz="0" w:space="0" w:color="auto"/>
                                    <w:bottom w:val="none" w:sz="0" w:space="0" w:color="auto"/>
                                    <w:right w:val="none" w:sz="0" w:space="0" w:color="auto"/>
                                  </w:divBdr>
                                </w:div>
                                <w:div w:id="1012025150">
                                  <w:marLeft w:val="0"/>
                                  <w:marRight w:val="0"/>
                                  <w:marTop w:val="0"/>
                                  <w:marBottom w:val="0"/>
                                  <w:divBdr>
                                    <w:top w:val="none" w:sz="0" w:space="0" w:color="auto"/>
                                    <w:left w:val="none" w:sz="0" w:space="0" w:color="auto"/>
                                    <w:bottom w:val="none" w:sz="0" w:space="0" w:color="auto"/>
                                    <w:right w:val="none" w:sz="0" w:space="0" w:color="auto"/>
                                  </w:divBdr>
                                </w:div>
                                <w:div w:id="1109660083">
                                  <w:marLeft w:val="0"/>
                                  <w:marRight w:val="0"/>
                                  <w:marTop w:val="0"/>
                                  <w:marBottom w:val="0"/>
                                  <w:divBdr>
                                    <w:top w:val="none" w:sz="0" w:space="0" w:color="auto"/>
                                    <w:left w:val="none" w:sz="0" w:space="0" w:color="auto"/>
                                    <w:bottom w:val="none" w:sz="0" w:space="0" w:color="auto"/>
                                    <w:right w:val="none" w:sz="0" w:space="0" w:color="auto"/>
                                  </w:divBdr>
                                </w:div>
                                <w:div w:id="2120025483">
                                  <w:marLeft w:val="0"/>
                                  <w:marRight w:val="0"/>
                                  <w:marTop w:val="0"/>
                                  <w:marBottom w:val="0"/>
                                  <w:divBdr>
                                    <w:top w:val="none" w:sz="0" w:space="0" w:color="auto"/>
                                    <w:left w:val="none" w:sz="0" w:space="0" w:color="auto"/>
                                    <w:bottom w:val="none" w:sz="0" w:space="0" w:color="auto"/>
                                    <w:right w:val="none" w:sz="0" w:space="0" w:color="auto"/>
                                  </w:divBdr>
                                </w:div>
                                <w:div w:id="621574603">
                                  <w:marLeft w:val="0"/>
                                  <w:marRight w:val="0"/>
                                  <w:marTop w:val="0"/>
                                  <w:marBottom w:val="0"/>
                                  <w:divBdr>
                                    <w:top w:val="none" w:sz="0" w:space="0" w:color="auto"/>
                                    <w:left w:val="none" w:sz="0" w:space="0" w:color="auto"/>
                                    <w:bottom w:val="none" w:sz="0" w:space="0" w:color="auto"/>
                                    <w:right w:val="none" w:sz="0" w:space="0" w:color="auto"/>
                                  </w:divBdr>
                                </w:div>
                                <w:div w:id="5406428">
                                  <w:marLeft w:val="0"/>
                                  <w:marRight w:val="0"/>
                                  <w:marTop w:val="0"/>
                                  <w:marBottom w:val="0"/>
                                  <w:divBdr>
                                    <w:top w:val="none" w:sz="0" w:space="0" w:color="auto"/>
                                    <w:left w:val="none" w:sz="0" w:space="0" w:color="auto"/>
                                    <w:bottom w:val="none" w:sz="0" w:space="0" w:color="auto"/>
                                    <w:right w:val="none" w:sz="0" w:space="0" w:color="auto"/>
                                  </w:divBdr>
                                </w:div>
                                <w:div w:id="1807966077">
                                  <w:marLeft w:val="0"/>
                                  <w:marRight w:val="0"/>
                                  <w:marTop w:val="0"/>
                                  <w:marBottom w:val="0"/>
                                  <w:divBdr>
                                    <w:top w:val="none" w:sz="0" w:space="0" w:color="auto"/>
                                    <w:left w:val="none" w:sz="0" w:space="0" w:color="auto"/>
                                    <w:bottom w:val="none" w:sz="0" w:space="0" w:color="auto"/>
                                    <w:right w:val="none" w:sz="0" w:space="0" w:color="auto"/>
                                  </w:divBdr>
                                </w:div>
                                <w:div w:id="1822692187">
                                  <w:marLeft w:val="0"/>
                                  <w:marRight w:val="0"/>
                                  <w:marTop w:val="0"/>
                                  <w:marBottom w:val="0"/>
                                  <w:divBdr>
                                    <w:top w:val="none" w:sz="0" w:space="0" w:color="auto"/>
                                    <w:left w:val="none" w:sz="0" w:space="0" w:color="auto"/>
                                    <w:bottom w:val="none" w:sz="0" w:space="0" w:color="auto"/>
                                    <w:right w:val="none" w:sz="0" w:space="0" w:color="auto"/>
                                  </w:divBdr>
                                </w:div>
                                <w:div w:id="393167766">
                                  <w:marLeft w:val="0"/>
                                  <w:marRight w:val="0"/>
                                  <w:marTop w:val="0"/>
                                  <w:marBottom w:val="0"/>
                                  <w:divBdr>
                                    <w:top w:val="none" w:sz="0" w:space="0" w:color="auto"/>
                                    <w:left w:val="none" w:sz="0" w:space="0" w:color="auto"/>
                                    <w:bottom w:val="none" w:sz="0" w:space="0" w:color="auto"/>
                                    <w:right w:val="none" w:sz="0" w:space="0" w:color="auto"/>
                                  </w:divBdr>
                                </w:div>
                                <w:div w:id="2064481050">
                                  <w:marLeft w:val="0"/>
                                  <w:marRight w:val="0"/>
                                  <w:marTop w:val="0"/>
                                  <w:marBottom w:val="0"/>
                                  <w:divBdr>
                                    <w:top w:val="none" w:sz="0" w:space="0" w:color="auto"/>
                                    <w:left w:val="none" w:sz="0" w:space="0" w:color="auto"/>
                                    <w:bottom w:val="none" w:sz="0" w:space="0" w:color="auto"/>
                                    <w:right w:val="none" w:sz="0" w:space="0" w:color="auto"/>
                                  </w:divBdr>
                                </w:div>
                                <w:div w:id="933318429">
                                  <w:marLeft w:val="0"/>
                                  <w:marRight w:val="0"/>
                                  <w:marTop w:val="0"/>
                                  <w:marBottom w:val="0"/>
                                  <w:divBdr>
                                    <w:top w:val="none" w:sz="0" w:space="0" w:color="auto"/>
                                    <w:left w:val="none" w:sz="0" w:space="0" w:color="auto"/>
                                    <w:bottom w:val="none" w:sz="0" w:space="0" w:color="auto"/>
                                    <w:right w:val="none" w:sz="0" w:space="0" w:color="auto"/>
                                  </w:divBdr>
                                </w:div>
                                <w:div w:id="959646016">
                                  <w:marLeft w:val="0"/>
                                  <w:marRight w:val="0"/>
                                  <w:marTop w:val="0"/>
                                  <w:marBottom w:val="0"/>
                                  <w:divBdr>
                                    <w:top w:val="none" w:sz="0" w:space="0" w:color="auto"/>
                                    <w:left w:val="none" w:sz="0" w:space="0" w:color="auto"/>
                                    <w:bottom w:val="none" w:sz="0" w:space="0" w:color="auto"/>
                                    <w:right w:val="none" w:sz="0" w:space="0" w:color="auto"/>
                                  </w:divBdr>
                                </w:div>
                                <w:div w:id="1962956174">
                                  <w:marLeft w:val="0"/>
                                  <w:marRight w:val="0"/>
                                  <w:marTop w:val="0"/>
                                  <w:marBottom w:val="0"/>
                                  <w:divBdr>
                                    <w:top w:val="none" w:sz="0" w:space="0" w:color="auto"/>
                                    <w:left w:val="none" w:sz="0" w:space="0" w:color="auto"/>
                                    <w:bottom w:val="none" w:sz="0" w:space="0" w:color="auto"/>
                                    <w:right w:val="none" w:sz="0" w:space="0" w:color="auto"/>
                                  </w:divBdr>
                                </w:div>
                                <w:div w:id="1142424376">
                                  <w:marLeft w:val="0"/>
                                  <w:marRight w:val="0"/>
                                  <w:marTop w:val="0"/>
                                  <w:marBottom w:val="0"/>
                                  <w:divBdr>
                                    <w:top w:val="none" w:sz="0" w:space="0" w:color="auto"/>
                                    <w:left w:val="none" w:sz="0" w:space="0" w:color="auto"/>
                                    <w:bottom w:val="none" w:sz="0" w:space="0" w:color="auto"/>
                                    <w:right w:val="none" w:sz="0" w:space="0" w:color="auto"/>
                                  </w:divBdr>
                                </w:div>
                                <w:div w:id="13043186">
                                  <w:marLeft w:val="0"/>
                                  <w:marRight w:val="0"/>
                                  <w:marTop w:val="0"/>
                                  <w:marBottom w:val="0"/>
                                  <w:divBdr>
                                    <w:top w:val="none" w:sz="0" w:space="0" w:color="auto"/>
                                    <w:left w:val="none" w:sz="0" w:space="0" w:color="auto"/>
                                    <w:bottom w:val="none" w:sz="0" w:space="0" w:color="auto"/>
                                    <w:right w:val="none" w:sz="0" w:space="0" w:color="auto"/>
                                  </w:divBdr>
                                </w:div>
                                <w:div w:id="749427195">
                                  <w:marLeft w:val="0"/>
                                  <w:marRight w:val="0"/>
                                  <w:marTop w:val="0"/>
                                  <w:marBottom w:val="0"/>
                                  <w:divBdr>
                                    <w:top w:val="none" w:sz="0" w:space="0" w:color="auto"/>
                                    <w:left w:val="none" w:sz="0" w:space="0" w:color="auto"/>
                                    <w:bottom w:val="none" w:sz="0" w:space="0" w:color="auto"/>
                                    <w:right w:val="none" w:sz="0" w:space="0" w:color="auto"/>
                                  </w:divBdr>
                                </w:div>
                                <w:div w:id="664281095">
                                  <w:marLeft w:val="0"/>
                                  <w:marRight w:val="0"/>
                                  <w:marTop w:val="0"/>
                                  <w:marBottom w:val="0"/>
                                  <w:divBdr>
                                    <w:top w:val="none" w:sz="0" w:space="0" w:color="auto"/>
                                    <w:left w:val="none" w:sz="0" w:space="0" w:color="auto"/>
                                    <w:bottom w:val="none" w:sz="0" w:space="0" w:color="auto"/>
                                    <w:right w:val="none" w:sz="0" w:space="0" w:color="auto"/>
                                  </w:divBdr>
                                </w:div>
                                <w:div w:id="1122305702">
                                  <w:marLeft w:val="0"/>
                                  <w:marRight w:val="0"/>
                                  <w:marTop w:val="0"/>
                                  <w:marBottom w:val="0"/>
                                  <w:divBdr>
                                    <w:top w:val="none" w:sz="0" w:space="0" w:color="auto"/>
                                    <w:left w:val="none" w:sz="0" w:space="0" w:color="auto"/>
                                    <w:bottom w:val="none" w:sz="0" w:space="0" w:color="auto"/>
                                    <w:right w:val="none" w:sz="0" w:space="0" w:color="auto"/>
                                  </w:divBdr>
                                </w:div>
                                <w:div w:id="309139674">
                                  <w:marLeft w:val="0"/>
                                  <w:marRight w:val="0"/>
                                  <w:marTop w:val="0"/>
                                  <w:marBottom w:val="0"/>
                                  <w:divBdr>
                                    <w:top w:val="none" w:sz="0" w:space="0" w:color="auto"/>
                                    <w:left w:val="none" w:sz="0" w:space="0" w:color="auto"/>
                                    <w:bottom w:val="none" w:sz="0" w:space="0" w:color="auto"/>
                                    <w:right w:val="none" w:sz="0" w:space="0" w:color="auto"/>
                                  </w:divBdr>
                                </w:div>
                                <w:div w:id="1777939003">
                                  <w:marLeft w:val="0"/>
                                  <w:marRight w:val="0"/>
                                  <w:marTop w:val="0"/>
                                  <w:marBottom w:val="0"/>
                                  <w:divBdr>
                                    <w:top w:val="none" w:sz="0" w:space="0" w:color="auto"/>
                                    <w:left w:val="none" w:sz="0" w:space="0" w:color="auto"/>
                                    <w:bottom w:val="none" w:sz="0" w:space="0" w:color="auto"/>
                                    <w:right w:val="none" w:sz="0" w:space="0" w:color="auto"/>
                                  </w:divBdr>
                                </w:div>
                                <w:div w:id="726493093">
                                  <w:marLeft w:val="0"/>
                                  <w:marRight w:val="0"/>
                                  <w:marTop w:val="0"/>
                                  <w:marBottom w:val="0"/>
                                  <w:divBdr>
                                    <w:top w:val="none" w:sz="0" w:space="0" w:color="auto"/>
                                    <w:left w:val="none" w:sz="0" w:space="0" w:color="auto"/>
                                    <w:bottom w:val="none" w:sz="0" w:space="0" w:color="auto"/>
                                    <w:right w:val="none" w:sz="0" w:space="0" w:color="auto"/>
                                  </w:divBdr>
                                </w:div>
                                <w:div w:id="1353528599">
                                  <w:marLeft w:val="0"/>
                                  <w:marRight w:val="0"/>
                                  <w:marTop w:val="0"/>
                                  <w:marBottom w:val="0"/>
                                  <w:divBdr>
                                    <w:top w:val="none" w:sz="0" w:space="0" w:color="auto"/>
                                    <w:left w:val="none" w:sz="0" w:space="0" w:color="auto"/>
                                    <w:bottom w:val="none" w:sz="0" w:space="0" w:color="auto"/>
                                    <w:right w:val="none" w:sz="0" w:space="0" w:color="auto"/>
                                  </w:divBdr>
                                </w:div>
                                <w:div w:id="960501093">
                                  <w:marLeft w:val="0"/>
                                  <w:marRight w:val="0"/>
                                  <w:marTop w:val="0"/>
                                  <w:marBottom w:val="0"/>
                                  <w:divBdr>
                                    <w:top w:val="none" w:sz="0" w:space="0" w:color="auto"/>
                                    <w:left w:val="none" w:sz="0" w:space="0" w:color="auto"/>
                                    <w:bottom w:val="none" w:sz="0" w:space="0" w:color="auto"/>
                                    <w:right w:val="none" w:sz="0" w:space="0" w:color="auto"/>
                                  </w:divBdr>
                                </w:div>
                                <w:div w:id="1689020766">
                                  <w:marLeft w:val="0"/>
                                  <w:marRight w:val="0"/>
                                  <w:marTop w:val="0"/>
                                  <w:marBottom w:val="0"/>
                                  <w:divBdr>
                                    <w:top w:val="none" w:sz="0" w:space="0" w:color="auto"/>
                                    <w:left w:val="none" w:sz="0" w:space="0" w:color="auto"/>
                                    <w:bottom w:val="none" w:sz="0" w:space="0" w:color="auto"/>
                                    <w:right w:val="none" w:sz="0" w:space="0" w:color="auto"/>
                                  </w:divBdr>
                                </w:div>
                                <w:div w:id="1829049507">
                                  <w:marLeft w:val="0"/>
                                  <w:marRight w:val="0"/>
                                  <w:marTop w:val="0"/>
                                  <w:marBottom w:val="0"/>
                                  <w:divBdr>
                                    <w:top w:val="none" w:sz="0" w:space="0" w:color="auto"/>
                                    <w:left w:val="none" w:sz="0" w:space="0" w:color="auto"/>
                                    <w:bottom w:val="none" w:sz="0" w:space="0" w:color="auto"/>
                                    <w:right w:val="none" w:sz="0" w:space="0" w:color="auto"/>
                                  </w:divBdr>
                                </w:div>
                                <w:div w:id="1278760081">
                                  <w:marLeft w:val="0"/>
                                  <w:marRight w:val="0"/>
                                  <w:marTop w:val="0"/>
                                  <w:marBottom w:val="0"/>
                                  <w:divBdr>
                                    <w:top w:val="none" w:sz="0" w:space="0" w:color="auto"/>
                                    <w:left w:val="none" w:sz="0" w:space="0" w:color="auto"/>
                                    <w:bottom w:val="none" w:sz="0" w:space="0" w:color="auto"/>
                                    <w:right w:val="none" w:sz="0" w:space="0" w:color="auto"/>
                                  </w:divBdr>
                                </w:div>
                                <w:div w:id="1828744139">
                                  <w:marLeft w:val="0"/>
                                  <w:marRight w:val="0"/>
                                  <w:marTop w:val="0"/>
                                  <w:marBottom w:val="0"/>
                                  <w:divBdr>
                                    <w:top w:val="none" w:sz="0" w:space="0" w:color="auto"/>
                                    <w:left w:val="none" w:sz="0" w:space="0" w:color="auto"/>
                                    <w:bottom w:val="none" w:sz="0" w:space="0" w:color="auto"/>
                                    <w:right w:val="none" w:sz="0" w:space="0" w:color="auto"/>
                                  </w:divBdr>
                                </w:div>
                                <w:div w:id="2057897799">
                                  <w:marLeft w:val="0"/>
                                  <w:marRight w:val="0"/>
                                  <w:marTop w:val="0"/>
                                  <w:marBottom w:val="0"/>
                                  <w:divBdr>
                                    <w:top w:val="none" w:sz="0" w:space="0" w:color="auto"/>
                                    <w:left w:val="none" w:sz="0" w:space="0" w:color="auto"/>
                                    <w:bottom w:val="none" w:sz="0" w:space="0" w:color="auto"/>
                                    <w:right w:val="none" w:sz="0" w:space="0" w:color="auto"/>
                                  </w:divBdr>
                                </w:div>
                                <w:div w:id="1165123995">
                                  <w:marLeft w:val="0"/>
                                  <w:marRight w:val="0"/>
                                  <w:marTop w:val="0"/>
                                  <w:marBottom w:val="0"/>
                                  <w:divBdr>
                                    <w:top w:val="none" w:sz="0" w:space="0" w:color="auto"/>
                                    <w:left w:val="none" w:sz="0" w:space="0" w:color="auto"/>
                                    <w:bottom w:val="none" w:sz="0" w:space="0" w:color="auto"/>
                                    <w:right w:val="none" w:sz="0" w:space="0" w:color="auto"/>
                                  </w:divBdr>
                                </w:div>
                                <w:div w:id="718283131">
                                  <w:marLeft w:val="0"/>
                                  <w:marRight w:val="0"/>
                                  <w:marTop w:val="0"/>
                                  <w:marBottom w:val="0"/>
                                  <w:divBdr>
                                    <w:top w:val="none" w:sz="0" w:space="0" w:color="auto"/>
                                    <w:left w:val="none" w:sz="0" w:space="0" w:color="auto"/>
                                    <w:bottom w:val="none" w:sz="0" w:space="0" w:color="auto"/>
                                    <w:right w:val="none" w:sz="0" w:space="0" w:color="auto"/>
                                  </w:divBdr>
                                </w:div>
                                <w:div w:id="1947301635">
                                  <w:marLeft w:val="0"/>
                                  <w:marRight w:val="0"/>
                                  <w:marTop w:val="0"/>
                                  <w:marBottom w:val="0"/>
                                  <w:divBdr>
                                    <w:top w:val="none" w:sz="0" w:space="0" w:color="auto"/>
                                    <w:left w:val="none" w:sz="0" w:space="0" w:color="auto"/>
                                    <w:bottom w:val="none" w:sz="0" w:space="0" w:color="auto"/>
                                    <w:right w:val="none" w:sz="0" w:space="0" w:color="auto"/>
                                  </w:divBdr>
                                </w:div>
                                <w:div w:id="1661151077">
                                  <w:marLeft w:val="0"/>
                                  <w:marRight w:val="0"/>
                                  <w:marTop w:val="0"/>
                                  <w:marBottom w:val="0"/>
                                  <w:divBdr>
                                    <w:top w:val="none" w:sz="0" w:space="0" w:color="auto"/>
                                    <w:left w:val="none" w:sz="0" w:space="0" w:color="auto"/>
                                    <w:bottom w:val="none" w:sz="0" w:space="0" w:color="auto"/>
                                    <w:right w:val="none" w:sz="0" w:space="0" w:color="auto"/>
                                  </w:divBdr>
                                </w:div>
                                <w:div w:id="1631785033">
                                  <w:marLeft w:val="0"/>
                                  <w:marRight w:val="0"/>
                                  <w:marTop w:val="0"/>
                                  <w:marBottom w:val="0"/>
                                  <w:divBdr>
                                    <w:top w:val="none" w:sz="0" w:space="0" w:color="auto"/>
                                    <w:left w:val="none" w:sz="0" w:space="0" w:color="auto"/>
                                    <w:bottom w:val="none" w:sz="0" w:space="0" w:color="auto"/>
                                    <w:right w:val="none" w:sz="0" w:space="0" w:color="auto"/>
                                  </w:divBdr>
                                </w:div>
                                <w:div w:id="1506704847">
                                  <w:marLeft w:val="0"/>
                                  <w:marRight w:val="0"/>
                                  <w:marTop w:val="0"/>
                                  <w:marBottom w:val="0"/>
                                  <w:divBdr>
                                    <w:top w:val="none" w:sz="0" w:space="0" w:color="auto"/>
                                    <w:left w:val="none" w:sz="0" w:space="0" w:color="auto"/>
                                    <w:bottom w:val="none" w:sz="0" w:space="0" w:color="auto"/>
                                    <w:right w:val="none" w:sz="0" w:space="0" w:color="auto"/>
                                  </w:divBdr>
                                </w:div>
                                <w:div w:id="494077963">
                                  <w:marLeft w:val="0"/>
                                  <w:marRight w:val="0"/>
                                  <w:marTop w:val="0"/>
                                  <w:marBottom w:val="0"/>
                                  <w:divBdr>
                                    <w:top w:val="none" w:sz="0" w:space="0" w:color="auto"/>
                                    <w:left w:val="none" w:sz="0" w:space="0" w:color="auto"/>
                                    <w:bottom w:val="none" w:sz="0" w:space="0" w:color="auto"/>
                                    <w:right w:val="none" w:sz="0" w:space="0" w:color="auto"/>
                                  </w:divBdr>
                                </w:div>
                                <w:div w:id="242951906">
                                  <w:marLeft w:val="0"/>
                                  <w:marRight w:val="0"/>
                                  <w:marTop w:val="0"/>
                                  <w:marBottom w:val="0"/>
                                  <w:divBdr>
                                    <w:top w:val="none" w:sz="0" w:space="0" w:color="auto"/>
                                    <w:left w:val="none" w:sz="0" w:space="0" w:color="auto"/>
                                    <w:bottom w:val="none" w:sz="0" w:space="0" w:color="auto"/>
                                    <w:right w:val="none" w:sz="0" w:space="0" w:color="auto"/>
                                  </w:divBdr>
                                </w:div>
                                <w:div w:id="1136029604">
                                  <w:marLeft w:val="0"/>
                                  <w:marRight w:val="0"/>
                                  <w:marTop w:val="0"/>
                                  <w:marBottom w:val="0"/>
                                  <w:divBdr>
                                    <w:top w:val="none" w:sz="0" w:space="0" w:color="auto"/>
                                    <w:left w:val="none" w:sz="0" w:space="0" w:color="auto"/>
                                    <w:bottom w:val="none" w:sz="0" w:space="0" w:color="auto"/>
                                    <w:right w:val="none" w:sz="0" w:space="0" w:color="auto"/>
                                  </w:divBdr>
                                </w:div>
                                <w:div w:id="409545507">
                                  <w:marLeft w:val="0"/>
                                  <w:marRight w:val="0"/>
                                  <w:marTop w:val="0"/>
                                  <w:marBottom w:val="0"/>
                                  <w:divBdr>
                                    <w:top w:val="none" w:sz="0" w:space="0" w:color="auto"/>
                                    <w:left w:val="none" w:sz="0" w:space="0" w:color="auto"/>
                                    <w:bottom w:val="none" w:sz="0" w:space="0" w:color="auto"/>
                                    <w:right w:val="none" w:sz="0" w:space="0" w:color="auto"/>
                                  </w:divBdr>
                                </w:div>
                                <w:div w:id="2011055419">
                                  <w:marLeft w:val="0"/>
                                  <w:marRight w:val="0"/>
                                  <w:marTop w:val="0"/>
                                  <w:marBottom w:val="0"/>
                                  <w:divBdr>
                                    <w:top w:val="none" w:sz="0" w:space="0" w:color="auto"/>
                                    <w:left w:val="none" w:sz="0" w:space="0" w:color="auto"/>
                                    <w:bottom w:val="none" w:sz="0" w:space="0" w:color="auto"/>
                                    <w:right w:val="none" w:sz="0" w:space="0" w:color="auto"/>
                                  </w:divBdr>
                                </w:div>
                                <w:div w:id="2079282928">
                                  <w:marLeft w:val="0"/>
                                  <w:marRight w:val="0"/>
                                  <w:marTop w:val="0"/>
                                  <w:marBottom w:val="0"/>
                                  <w:divBdr>
                                    <w:top w:val="none" w:sz="0" w:space="0" w:color="auto"/>
                                    <w:left w:val="none" w:sz="0" w:space="0" w:color="auto"/>
                                    <w:bottom w:val="none" w:sz="0" w:space="0" w:color="auto"/>
                                    <w:right w:val="none" w:sz="0" w:space="0" w:color="auto"/>
                                  </w:divBdr>
                                </w:div>
                                <w:div w:id="1352296433">
                                  <w:marLeft w:val="0"/>
                                  <w:marRight w:val="0"/>
                                  <w:marTop w:val="0"/>
                                  <w:marBottom w:val="0"/>
                                  <w:divBdr>
                                    <w:top w:val="none" w:sz="0" w:space="0" w:color="auto"/>
                                    <w:left w:val="none" w:sz="0" w:space="0" w:color="auto"/>
                                    <w:bottom w:val="none" w:sz="0" w:space="0" w:color="auto"/>
                                    <w:right w:val="none" w:sz="0" w:space="0" w:color="auto"/>
                                  </w:divBdr>
                                </w:div>
                                <w:div w:id="1081945027">
                                  <w:marLeft w:val="0"/>
                                  <w:marRight w:val="0"/>
                                  <w:marTop w:val="0"/>
                                  <w:marBottom w:val="0"/>
                                  <w:divBdr>
                                    <w:top w:val="none" w:sz="0" w:space="0" w:color="auto"/>
                                    <w:left w:val="none" w:sz="0" w:space="0" w:color="auto"/>
                                    <w:bottom w:val="none" w:sz="0" w:space="0" w:color="auto"/>
                                    <w:right w:val="none" w:sz="0" w:space="0" w:color="auto"/>
                                  </w:divBdr>
                                </w:div>
                                <w:div w:id="2036344439">
                                  <w:marLeft w:val="0"/>
                                  <w:marRight w:val="0"/>
                                  <w:marTop w:val="0"/>
                                  <w:marBottom w:val="0"/>
                                  <w:divBdr>
                                    <w:top w:val="none" w:sz="0" w:space="0" w:color="auto"/>
                                    <w:left w:val="none" w:sz="0" w:space="0" w:color="auto"/>
                                    <w:bottom w:val="none" w:sz="0" w:space="0" w:color="auto"/>
                                    <w:right w:val="none" w:sz="0" w:space="0" w:color="auto"/>
                                  </w:divBdr>
                                </w:div>
                                <w:div w:id="1136145247">
                                  <w:marLeft w:val="0"/>
                                  <w:marRight w:val="0"/>
                                  <w:marTop w:val="0"/>
                                  <w:marBottom w:val="0"/>
                                  <w:divBdr>
                                    <w:top w:val="none" w:sz="0" w:space="0" w:color="auto"/>
                                    <w:left w:val="none" w:sz="0" w:space="0" w:color="auto"/>
                                    <w:bottom w:val="none" w:sz="0" w:space="0" w:color="auto"/>
                                    <w:right w:val="none" w:sz="0" w:space="0" w:color="auto"/>
                                  </w:divBdr>
                                </w:div>
                                <w:div w:id="1223786493">
                                  <w:marLeft w:val="0"/>
                                  <w:marRight w:val="0"/>
                                  <w:marTop w:val="0"/>
                                  <w:marBottom w:val="0"/>
                                  <w:divBdr>
                                    <w:top w:val="none" w:sz="0" w:space="0" w:color="auto"/>
                                    <w:left w:val="none" w:sz="0" w:space="0" w:color="auto"/>
                                    <w:bottom w:val="none" w:sz="0" w:space="0" w:color="auto"/>
                                    <w:right w:val="none" w:sz="0" w:space="0" w:color="auto"/>
                                  </w:divBdr>
                                </w:div>
                                <w:div w:id="1207639328">
                                  <w:marLeft w:val="0"/>
                                  <w:marRight w:val="0"/>
                                  <w:marTop w:val="0"/>
                                  <w:marBottom w:val="0"/>
                                  <w:divBdr>
                                    <w:top w:val="none" w:sz="0" w:space="0" w:color="auto"/>
                                    <w:left w:val="none" w:sz="0" w:space="0" w:color="auto"/>
                                    <w:bottom w:val="none" w:sz="0" w:space="0" w:color="auto"/>
                                    <w:right w:val="none" w:sz="0" w:space="0" w:color="auto"/>
                                  </w:divBdr>
                                </w:div>
                                <w:div w:id="1529101017">
                                  <w:marLeft w:val="0"/>
                                  <w:marRight w:val="0"/>
                                  <w:marTop w:val="0"/>
                                  <w:marBottom w:val="0"/>
                                  <w:divBdr>
                                    <w:top w:val="none" w:sz="0" w:space="0" w:color="auto"/>
                                    <w:left w:val="none" w:sz="0" w:space="0" w:color="auto"/>
                                    <w:bottom w:val="none" w:sz="0" w:space="0" w:color="auto"/>
                                    <w:right w:val="none" w:sz="0" w:space="0" w:color="auto"/>
                                  </w:divBdr>
                                </w:div>
                                <w:div w:id="1048143798">
                                  <w:marLeft w:val="0"/>
                                  <w:marRight w:val="0"/>
                                  <w:marTop w:val="0"/>
                                  <w:marBottom w:val="0"/>
                                  <w:divBdr>
                                    <w:top w:val="none" w:sz="0" w:space="0" w:color="auto"/>
                                    <w:left w:val="none" w:sz="0" w:space="0" w:color="auto"/>
                                    <w:bottom w:val="none" w:sz="0" w:space="0" w:color="auto"/>
                                    <w:right w:val="none" w:sz="0" w:space="0" w:color="auto"/>
                                  </w:divBdr>
                                </w:div>
                                <w:div w:id="1248002719">
                                  <w:marLeft w:val="0"/>
                                  <w:marRight w:val="0"/>
                                  <w:marTop w:val="0"/>
                                  <w:marBottom w:val="0"/>
                                  <w:divBdr>
                                    <w:top w:val="none" w:sz="0" w:space="0" w:color="auto"/>
                                    <w:left w:val="none" w:sz="0" w:space="0" w:color="auto"/>
                                    <w:bottom w:val="none" w:sz="0" w:space="0" w:color="auto"/>
                                    <w:right w:val="none" w:sz="0" w:space="0" w:color="auto"/>
                                  </w:divBdr>
                                </w:div>
                                <w:div w:id="137722136">
                                  <w:marLeft w:val="0"/>
                                  <w:marRight w:val="0"/>
                                  <w:marTop w:val="0"/>
                                  <w:marBottom w:val="0"/>
                                  <w:divBdr>
                                    <w:top w:val="none" w:sz="0" w:space="0" w:color="auto"/>
                                    <w:left w:val="none" w:sz="0" w:space="0" w:color="auto"/>
                                    <w:bottom w:val="none" w:sz="0" w:space="0" w:color="auto"/>
                                    <w:right w:val="none" w:sz="0" w:space="0" w:color="auto"/>
                                  </w:divBdr>
                                </w:div>
                                <w:div w:id="1105689700">
                                  <w:marLeft w:val="0"/>
                                  <w:marRight w:val="0"/>
                                  <w:marTop w:val="0"/>
                                  <w:marBottom w:val="0"/>
                                  <w:divBdr>
                                    <w:top w:val="none" w:sz="0" w:space="0" w:color="auto"/>
                                    <w:left w:val="none" w:sz="0" w:space="0" w:color="auto"/>
                                    <w:bottom w:val="none" w:sz="0" w:space="0" w:color="auto"/>
                                    <w:right w:val="none" w:sz="0" w:space="0" w:color="auto"/>
                                  </w:divBdr>
                                </w:div>
                                <w:div w:id="735861718">
                                  <w:marLeft w:val="0"/>
                                  <w:marRight w:val="0"/>
                                  <w:marTop w:val="0"/>
                                  <w:marBottom w:val="0"/>
                                  <w:divBdr>
                                    <w:top w:val="none" w:sz="0" w:space="0" w:color="auto"/>
                                    <w:left w:val="none" w:sz="0" w:space="0" w:color="auto"/>
                                    <w:bottom w:val="none" w:sz="0" w:space="0" w:color="auto"/>
                                    <w:right w:val="none" w:sz="0" w:space="0" w:color="auto"/>
                                  </w:divBdr>
                                </w:div>
                                <w:div w:id="982925683">
                                  <w:marLeft w:val="0"/>
                                  <w:marRight w:val="0"/>
                                  <w:marTop w:val="0"/>
                                  <w:marBottom w:val="0"/>
                                  <w:divBdr>
                                    <w:top w:val="none" w:sz="0" w:space="0" w:color="auto"/>
                                    <w:left w:val="none" w:sz="0" w:space="0" w:color="auto"/>
                                    <w:bottom w:val="none" w:sz="0" w:space="0" w:color="auto"/>
                                    <w:right w:val="none" w:sz="0" w:space="0" w:color="auto"/>
                                  </w:divBdr>
                                </w:div>
                                <w:div w:id="1882011759">
                                  <w:marLeft w:val="0"/>
                                  <w:marRight w:val="0"/>
                                  <w:marTop w:val="0"/>
                                  <w:marBottom w:val="0"/>
                                  <w:divBdr>
                                    <w:top w:val="none" w:sz="0" w:space="0" w:color="auto"/>
                                    <w:left w:val="none" w:sz="0" w:space="0" w:color="auto"/>
                                    <w:bottom w:val="none" w:sz="0" w:space="0" w:color="auto"/>
                                    <w:right w:val="none" w:sz="0" w:space="0" w:color="auto"/>
                                  </w:divBdr>
                                </w:div>
                                <w:div w:id="472718418">
                                  <w:marLeft w:val="0"/>
                                  <w:marRight w:val="0"/>
                                  <w:marTop w:val="0"/>
                                  <w:marBottom w:val="0"/>
                                  <w:divBdr>
                                    <w:top w:val="none" w:sz="0" w:space="0" w:color="auto"/>
                                    <w:left w:val="none" w:sz="0" w:space="0" w:color="auto"/>
                                    <w:bottom w:val="none" w:sz="0" w:space="0" w:color="auto"/>
                                    <w:right w:val="none" w:sz="0" w:space="0" w:color="auto"/>
                                  </w:divBdr>
                                </w:div>
                                <w:div w:id="362169668">
                                  <w:marLeft w:val="0"/>
                                  <w:marRight w:val="0"/>
                                  <w:marTop w:val="0"/>
                                  <w:marBottom w:val="0"/>
                                  <w:divBdr>
                                    <w:top w:val="none" w:sz="0" w:space="0" w:color="auto"/>
                                    <w:left w:val="none" w:sz="0" w:space="0" w:color="auto"/>
                                    <w:bottom w:val="none" w:sz="0" w:space="0" w:color="auto"/>
                                    <w:right w:val="none" w:sz="0" w:space="0" w:color="auto"/>
                                  </w:divBdr>
                                </w:div>
                                <w:div w:id="1630892055">
                                  <w:marLeft w:val="0"/>
                                  <w:marRight w:val="0"/>
                                  <w:marTop w:val="0"/>
                                  <w:marBottom w:val="0"/>
                                  <w:divBdr>
                                    <w:top w:val="none" w:sz="0" w:space="0" w:color="auto"/>
                                    <w:left w:val="none" w:sz="0" w:space="0" w:color="auto"/>
                                    <w:bottom w:val="none" w:sz="0" w:space="0" w:color="auto"/>
                                    <w:right w:val="none" w:sz="0" w:space="0" w:color="auto"/>
                                  </w:divBdr>
                                </w:div>
                                <w:div w:id="1180243497">
                                  <w:marLeft w:val="0"/>
                                  <w:marRight w:val="0"/>
                                  <w:marTop w:val="0"/>
                                  <w:marBottom w:val="0"/>
                                  <w:divBdr>
                                    <w:top w:val="none" w:sz="0" w:space="0" w:color="auto"/>
                                    <w:left w:val="none" w:sz="0" w:space="0" w:color="auto"/>
                                    <w:bottom w:val="none" w:sz="0" w:space="0" w:color="auto"/>
                                    <w:right w:val="none" w:sz="0" w:space="0" w:color="auto"/>
                                  </w:divBdr>
                                </w:div>
                                <w:div w:id="1100641507">
                                  <w:marLeft w:val="0"/>
                                  <w:marRight w:val="0"/>
                                  <w:marTop w:val="0"/>
                                  <w:marBottom w:val="0"/>
                                  <w:divBdr>
                                    <w:top w:val="none" w:sz="0" w:space="0" w:color="auto"/>
                                    <w:left w:val="none" w:sz="0" w:space="0" w:color="auto"/>
                                    <w:bottom w:val="none" w:sz="0" w:space="0" w:color="auto"/>
                                    <w:right w:val="none" w:sz="0" w:space="0" w:color="auto"/>
                                  </w:divBdr>
                                </w:div>
                                <w:div w:id="1207714860">
                                  <w:marLeft w:val="0"/>
                                  <w:marRight w:val="0"/>
                                  <w:marTop w:val="0"/>
                                  <w:marBottom w:val="0"/>
                                  <w:divBdr>
                                    <w:top w:val="none" w:sz="0" w:space="0" w:color="auto"/>
                                    <w:left w:val="none" w:sz="0" w:space="0" w:color="auto"/>
                                    <w:bottom w:val="none" w:sz="0" w:space="0" w:color="auto"/>
                                    <w:right w:val="none" w:sz="0" w:space="0" w:color="auto"/>
                                  </w:divBdr>
                                </w:div>
                                <w:div w:id="2053069646">
                                  <w:marLeft w:val="0"/>
                                  <w:marRight w:val="0"/>
                                  <w:marTop w:val="0"/>
                                  <w:marBottom w:val="0"/>
                                  <w:divBdr>
                                    <w:top w:val="none" w:sz="0" w:space="0" w:color="auto"/>
                                    <w:left w:val="none" w:sz="0" w:space="0" w:color="auto"/>
                                    <w:bottom w:val="none" w:sz="0" w:space="0" w:color="auto"/>
                                    <w:right w:val="none" w:sz="0" w:space="0" w:color="auto"/>
                                  </w:divBdr>
                                </w:div>
                                <w:div w:id="1402561330">
                                  <w:marLeft w:val="0"/>
                                  <w:marRight w:val="0"/>
                                  <w:marTop w:val="0"/>
                                  <w:marBottom w:val="0"/>
                                  <w:divBdr>
                                    <w:top w:val="none" w:sz="0" w:space="0" w:color="auto"/>
                                    <w:left w:val="none" w:sz="0" w:space="0" w:color="auto"/>
                                    <w:bottom w:val="none" w:sz="0" w:space="0" w:color="auto"/>
                                    <w:right w:val="none" w:sz="0" w:space="0" w:color="auto"/>
                                  </w:divBdr>
                                </w:div>
                                <w:div w:id="158078271">
                                  <w:marLeft w:val="0"/>
                                  <w:marRight w:val="0"/>
                                  <w:marTop w:val="0"/>
                                  <w:marBottom w:val="0"/>
                                  <w:divBdr>
                                    <w:top w:val="none" w:sz="0" w:space="0" w:color="auto"/>
                                    <w:left w:val="none" w:sz="0" w:space="0" w:color="auto"/>
                                    <w:bottom w:val="none" w:sz="0" w:space="0" w:color="auto"/>
                                    <w:right w:val="none" w:sz="0" w:space="0" w:color="auto"/>
                                  </w:divBdr>
                                </w:div>
                                <w:div w:id="335964979">
                                  <w:marLeft w:val="0"/>
                                  <w:marRight w:val="0"/>
                                  <w:marTop w:val="0"/>
                                  <w:marBottom w:val="0"/>
                                  <w:divBdr>
                                    <w:top w:val="none" w:sz="0" w:space="0" w:color="auto"/>
                                    <w:left w:val="none" w:sz="0" w:space="0" w:color="auto"/>
                                    <w:bottom w:val="none" w:sz="0" w:space="0" w:color="auto"/>
                                    <w:right w:val="none" w:sz="0" w:space="0" w:color="auto"/>
                                  </w:divBdr>
                                </w:div>
                                <w:div w:id="868685137">
                                  <w:marLeft w:val="0"/>
                                  <w:marRight w:val="0"/>
                                  <w:marTop w:val="0"/>
                                  <w:marBottom w:val="0"/>
                                  <w:divBdr>
                                    <w:top w:val="none" w:sz="0" w:space="0" w:color="auto"/>
                                    <w:left w:val="none" w:sz="0" w:space="0" w:color="auto"/>
                                    <w:bottom w:val="none" w:sz="0" w:space="0" w:color="auto"/>
                                    <w:right w:val="none" w:sz="0" w:space="0" w:color="auto"/>
                                  </w:divBdr>
                                </w:div>
                                <w:div w:id="1700281878">
                                  <w:marLeft w:val="0"/>
                                  <w:marRight w:val="0"/>
                                  <w:marTop w:val="0"/>
                                  <w:marBottom w:val="0"/>
                                  <w:divBdr>
                                    <w:top w:val="none" w:sz="0" w:space="0" w:color="auto"/>
                                    <w:left w:val="none" w:sz="0" w:space="0" w:color="auto"/>
                                    <w:bottom w:val="none" w:sz="0" w:space="0" w:color="auto"/>
                                    <w:right w:val="none" w:sz="0" w:space="0" w:color="auto"/>
                                  </w:divBdr>
                                </w:div>
                                <w:div w:id="2035615854">
                                  <w:marLeft w:val="0"/>
                                  <w:marRight w:val="0"/>
                                  <w:marTop w:val="0"/>
                                  <w:marBottom w:val="0"/>
                                  <w:divBdr>
                                    <w:top w:val="none" w:sz="0" w:space="0" w:color="auto"/>
                                    <w:left w:val="none" w:sz="0" w:space="0" w:color="auto"/>
                                    <w:bottom w:val="none" w:sz="0" w:space="0" w:color="auto"/>
                                    <w:right w:val="none" w:sz="0" w:space="0" w:color="auto"/>
                                  </w:divBdr>
                                </w:div>
                                <w:div w:id="2021199958">
                                  <w:marLeft w:val="0"/>
                                  <w:marRight w:val="0"/>
                                  <w:marTop w:val="0"/>
                                  <w:marBottom w:val="0"/>
                                  <w:divBdr>
                                    <w:top w:val="none" w:sz="0" w:space="0" w:color="auto"/>
                                    <w:left w:val="none" w:sz="0" w:space="0" w:color="auto"/>
                                    <w:bottom w:val="none" w:sz="0" w:space="0" w:color="auto"/>
                                    <w:right w:val="none" w:sz="0" w:space="0" w:color="auto"/>
                                  </w:divBdr>
                                </w:div>
                                <w:div w:id="5876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103126">
      <w:bodyDiv w:val="1"/>
      <w:marLeft w:val="0"/>
      <w:marRight w:val="0"/>
      <w:marTop w:val="0"/>
      <w:marBottom w:val="0"/>
      <w:divBdr>
        <w:top w:val="none" w:sz="0" w:space="0" w:color="auto"/>
        <w:left w:val="none" w:sz="0" w:space="0" w:color="auto"/>
        <w:bottom w:val="none" w:sz="0" w:space="0" w:color="auto"/>
        <w:right w:val="none" w:sz="0" w:space="0" w:color="auto"/>
      </w:divBdr>
      <w:divsChild>
        <w:div w:id="205992305">
          <w:marLeft w:val="0"/>
          <w:marRight w:val="0"/>
          <w:marTop w:val="0"/>
          <w:marBottom w:val="0"/>
          <w:divBdr>
            <w:top w:val="none" w:sz="0" w:space="0" w:color="auto"/>
            <w:left w:val="none" w:sz="0" w:space="0" w:color="auto"/>
            <w:bottom w:val="none" w:sz="0" w:space="0" w:color="auto"/>
            <w:right w:val="none" w:sz="0" w:space="0" w:color="auto"/>
          </w:divBdr>
          <w:divsChild>
            <w:div w:id="1221479373">
              <w:marLeft w:val="150"/>
              <w:marRight w:val="150"/>
              <w:marTop w:val="0"/>
              <w:marBottom w:val="150"/>
              <w:divBdr>
                <w:top w:val="none" w:sz="0" w:space="0" w:color="auto"/>
                <w:left w:val="none" w:sz="0" w:space="0" w:color="auto"/>
                <w:bottom w:val="none" w:sz="0" w:space="0" w:color="auto"/>
                <w:right w:val="none" w:sz="0" w:space="0" w:color="auto"/>
              </w:divBdr>
              <w:divsChild>
                <w:div w:id="1941527096">
                  <w:marLeft w:val="0"/>
                  <w:marRight w:val="0"/>
                  <w:marTop w:val="0"/>
                  <w:marBottom w:val="0"/>
                  <w:divBdr>
                    <w:top w:val="none" w:sz="0" w:space="0" w:color="auto"/>
                    <w:left w:val="none" w:sz="0" w:space="0" w:color="auto"/>
                    <w:bottom w:val="none" w:sz="0" w:space="0" w:color="auto"/>
                    <w:right w:val="none" w:sz="0" w:space="0" w:color="auto"/>
                  </w:divBdr>
                  <w:divsChild>
                    <w:div w:id="1928804536">
                      <w:marLeft w:val="0"/>
                      <w:marRight w:val="0"/>
                      <w:marTop w:val="0"/>
                      <w:marBottom w:val="0"/>
                      <w:divBdr>
                        <w:top w:val="none" w:sz="0" w:space="0" w:color="auto"/>
                        <w:left w:val="none" w:sz="0" w:space="0" w:color="auto"/>
                        <w:bottom w:val="none" w:sz="0" w:space="0" w:color="auto"/>
                        <w:right w:val="none" w:sz="0" w:space="0" w:color="auto"/>
                      </w:divBdr>
                      <w:divsChild>
                        <w:div w:id="247734741">
                          <w:marLeft w:val="0"/>
                          <w:marRight w:val="0"/>
                          <w:marTop w:val="0"/>
                          <w:marBottom w:val="0"/>
                          <w:divBdr>
                            <w:top w:val="none" w:sz="0" w:space="0" w:color="auto"/>
                            <w:left w:val="none" w:sz="0" w:space="0" w:color="auto"/>
                            <w:bottom w:val="none" w:sz="0" w:space="0" w:color="auto"/>
                            <w:right w:val="none" w:sz="0" w:space="0" w:color="auto"/>
                          </w:divBdr>
                          <w:divsChild>
                            <w:div w:id="1978145737">
                              <w:marLeft w:val="0"/>
                              <w:marRight w:val="0"/>
                              <w:marTop w:val="0"/>
                              <w:marBottom w:val="0"/>
                              <w:divBdr>
                                <w:top w:val="none" w:sz="0" w:space="0" w:color="auto"/>
                                <w:left w:val="none" w:sz="0" w:space="0" w:color="auto"/>
                                <w:bottom w:val="none" w:sz="0" w:space="0" w:color="auto"/>
                                <w:right w:val="none" w:sz="0" w:space="0" w:color="auto"/>
                              </w:divBdr>
                              <w:divsChild>
                                <w:div w:id="679355966">
                                  <w:marLeft w:val="0"/>
                                  <w:marRight w:val="0"/>
                                  <w:marTop w:val="0"/>
                                  <w:marBottom w:val="0"/>
                                  <w:divBdr>
                                    <w:top w:val="none" w:sz="0" w:space="0" w:color="auto"/>
                                    <w:left w:val="none" w:sz="0" w:space="0" w:color="auto"/>
                                    <w:bottom w:val="none" w:sz="0" w:space="0" w:color="auto"/>
                                    <w:right w:val="none" w:sz="0" w:space="0" w:color="auto"/>
                                  </w:divBdr>
                                </w:div>
                                <w:div w:id="10115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08206">
      <w:bodyDiv w:val="1"/>
      <w:marLeft w:val="0"/>
      <w:marRight w:val="0"/>
      <w:marTop w:val="0"/>
      <w:marBottom w:val="0"/>
      <w:divBdr>
        <w:top w:val="none" w:sz="0" w:space="0" w:color="auto"/>
        <w:left w:val="none" w:sz="0" w:space="0" w:color="auto"/>
        <w:bottom w:val="none" w:sz="0" w:space="0" w:color="auto"/>
        <w:right w:val="none" w:sz="0" w:space="0" w:color="auto"/>
      </w:divBdr>
      <w:divsChild>
        <w:div w:id="731270836">
          <w:marLeft w:val="0"/>
          <w:marRight w:val="0"/>
          <w:marTop w:val="0"/>
          <w:marBottom w:val="0"/>
          <w:divBdr>
            <w:top w:val="none" w:sz="0" w:space="0" w:color="auto"/>
            <w:left w:val="none" w:sz="0" w:space="0" w:color="auto"/>
            <w:bottom w:val="none" w:sz="0" w:space="0" w:color="auto"/>
            <w:right w:val="none" w:sz="0" w:space="0" w:color="auto"/>
          </w:divBdr>
          <w:divsChild>
            <w:div w:id="952790732">
              <w:marLeft w:val="150"/>
              <w:marRight w:val="150"/>
              <w:marTop w:val="0"/>
              <w:marBottom w:val="150"/>
              <w:divBdr>
                <w:top w:val="none" w:sz="0" w:space="0" w:color="auto"/>
                <w:left w:val="none" w:sz="0" w:space="0" w:color="auto"/>
                <w:bottom w:val="none" w:sz="0" w:space="0" w:color="auto"/>
                <w:right w:val="none" w:sz="0" w:space="0" w:color="auto"/>
              </w:divBdr>
              <w:divsChild>
                <w:div w:id="377172330">
                  <w:marLeft w:val="0"/>
                  <w:marRight w:val="0"/>
                  <w:marTop w:val="0"/>
                  <w:marBottom w:val="0"/>
                  <w:divBdr>
                    <w:top w:val="none" w:sz="0" w:space="0" w:color="auto"/>
                    <w:left w:val="none" w:sz="0" w:space="0" w:color="auto"/>
                    <w:bottom w:val="none" w:sz="0" w:space="0" w:color="auto"/>
                    <w:right w:val="none" w:sz="0" w:space="0" w:color="auto"/>
                  </w:divBdr>
                  <w:divsChild>
                    <w:div w:id="1737170603">
                      <w:marLeft w:val="0"/>
                      <w:marRight w:val="0"/>
                      <w:marTop w:val="0"/>
                      <w:marBottom w:val="0"/>
                      <w:divBdr>
                        <w:top w:val="none" w:sz="0" w:space="0" w:color="auto"/>
                        <w:left w:val="none" w:sz="0" w:space="0" w:color="auto"/>
                        <w:bottom w:val="none" w:sz="0" w:space="0" w:color="auto"/>
                        <w:right w:val="none" w:sz="0" w:space="0" w:color="auto"/>
                      </w:divBdr>
                      <w:divsChild>
                        <w:div w:id="1303071635">
                          <w:marLeft w:val="0"/>
                          <w:marRight w:val="0"/>
                          <w:marTop w:val="0"/>
                          <w:marBottom w:val="0"/>
                          <w:divBdr>
                            <w:top w:val="none" w:sz="0" w:space="0" w:color="auto"/>
                            <w:left w:val="none" w:sz="0" w:space="0" w:color="auto"/>
                            <w:bottom w:val="none" w:sz="0" w:space="0" w:color="auto"/>
                            <w:right w:val="none" w:sz="0" w:space="0" w:color="auto"/>
                          </w:divBdr>
                          <w:divsChild>
                            <w:div w:id="488718085">
                              <w:marLeft w:val="0"/>
                              <w:marRight w:val="0"/>
                              <w:marTop w:val="0"/>
                              <w:marBottom w:val="0"/>
                              <w:divBdr>
                                <w:top w:val="none" w:sz="0" w:space="0" w:color="auto"/>
                                <w:left w:val="none" w:sz="0" w:space="0" w:color="auto"/>
                                <w:bottom w:val="none" w:sz="0" w:space="0" w:color="auto"/>
                                <w:right w:val="none" w:sz="0" w:space="0" w:color="auto"/>
                              </w:divBdr>
                              <w:divsChild>
                                <w:div w:id="979843086">
                                  <w:marLeft w:val="0"/>
                                  <w:marRight w:val="0"/>
                                  <w:marTop w:val="0"/>
                                  <w:marBottom w:val="0"/>
                                  <w:divBdr>
                                    <w:top w:val="none" w:sz="0" w:space="0" w:color="auto"/>
                                    <w:left w:val="none" w:sz="0" w:space="0" w:color="auto"/>
                                    <w:bottom w:val="none" w:sz="0" w:space="0" w:color="auto"/>
                                    <w:right w:val="none" w:sz="0" w:space="0" w:color="auto"/>
                                  </w:divBdr>
                                </w:div>
                                <w:div w:id="2062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257628">
      <w:bodyDiv w:val="1"/>
      <w:marLeft w:val="0"/>
      <w:marRight w:val="0"/>
      <w:marTop w:val="0"/>
      <w:marBottom w:val="0"/>
      <w:divBdr>
        <w:top w:val="none" w:sz="0" w:space="0" w:color="auto"/>
        <w:left w:val="none" w:sz="0" w:space="0" w:color="auto"/>
        <w:bottom w:val="none" w:sz="0" w:space="0" w:color="auto"/>
        <w:right w:val="none" w:sz="0" w:space="0" w:color="auto"/>
      </w:divBdr>
      <w:divsChild>
        <w:div w:id="538662684">
          <w:marLeft w:val="0"/>
          <w:marRight w:val="0"/>
          <w:marTop w:val="0"/>
          <w:marBottom w:val="0"/>
          <w:divBdr>
            <w:top w:val="none" w:sz="0" w:space="0" w:color="auto"/>
            <w:left w:val="none" w:sz="0" w:space="0" w:color="auto"/>
            <w:bottom w:val="none" w:sz="0" w:space="0" w:color="auto"/>
            <w:right w:val="none" w:sz="0" w:space="0" w:color="auto"/>
          </w:divBdr>
          <w:divsChild>
            <w:div w:id="259994495">
              <w:marLeft w:val="150"/>
              <w:marRight w:val="150"/>
              <w:marTop w:val="0"/>
              <w:marBottom w:val="150"/>
              <w:divBdr>
                <w:top w:val="none" w:sz="0" w:space="0" w:color="auto"/>
                <w:left w:val="none" w:sz="0" w:space="0" w:color="auto"/>
                <w:bottom w:val="none" w:sz="0" w:space="0" w:color="auto"/>
                <w:right w:val="none" w:sz="0" w:space="0" w:color="auto"/>
              </w:divBdr>
              <w:divsChild>
                <w:div w:id="375158873">
                  <w:marLeft w:val="0"/>
                  <w:marRight w:val="0"/>
                  <w:marTop w:val="0"/>
                  <w:marBottom w:val="0"/>
                  <w:divBdr>
                    <w:top w:val="none" w:sz="0" w:space="0" w:color="auto"/>
                    <w:left w:val="none" w:sz="0" w:space="0" w:color="auto"/>
                    <w:bottom w:val="none" w:sz="0" w:space="0" w:color="auto"/>
                    <w:right w:val="none" w:sz="0" w:space="0" w:color="auto"/>
                  </w:divBdr>
                  <w:divsChild>
                    <w:div w:id="1139153982">
                      <w:marLeft w:val="0"/>
                      <w:marRight w:val="0"/>
                      <w:marTop w:val="0"/>
                      <w:marBottom w:val="0"/>
                      <w:divBdr>
                        <w:top w:val="none" w:sz="0" w:space="0" w:color="auto"/>
                        <w:left w:val="none" w:sz="0" w:space="0" w:color="auto"/>
                        <w:bottom w:val="none" w:sz="0" w:space="0" w:color="auto"/>
                        <w:right w:val="none" w:sz="0" w:space="0" w:color="auto"/>
                      </w:divBdr>
                      <w:divsChild>
                        <w:div w:id="1337222420">
                          <w:marLeft w:val="0"/>
                          <w:marRight w:val="0"/>
                          <w:marTop w:val="0"/>
                          <w:marBottom w:val="0"/>
                          <w:divBdr>
                            <w:top w:val="none" w:sz="0" w:space="0" w:color="auto"/>
                            <w:left w:val="none" w:sz="0" w:space="0" w:color="auto"/>
                            <w:bottom w:val="none" w:sz="0" w:space="0" w:color="auto"/>
                            <w:right w:val="none" w:sz="0" w:space="0" w:color="auto"/>
                          </w:divBdr>
                          <w:divsChild>
                            <w:div w:id="1311786077">
                              <w:marLeft w:val="0"/>
                              <w:marRight w:val="0"/>
                              <w:marTop w:val="0"/>
                              <w:marBottom w:val="0"/>
                              <w:divBdr>
                                <w:top w:val="none" w:sz="0" w:space="0" w:color="auto"/>
                                <w:left w:val="none" w:sz="0" w:space="0" w:color="auto"/>
                                <w:bottom w:val="none" w:sz="0" w:space="0" w:color="auto"/>
                                <w:right w:val="none" w:sz="0" w:space="0" w:color="auto"/>
                              </w:divBdr>
                              <w:divsChild>
                                <w:div w:id="1248034740">
                                  <w:marLeft w:val="0"/>
                                  <w:marRight w:val="0"/>
                                  <w:marTop w:val="0"/>
                                  <w:marBottom w:val="0"/>
                                  <w:divBdr>
                                    <w:top w:val="none" w:sz="0" w:space="0" w:color="auto"/>
                                    <w:left w:val="none" w:sz="0" w:space="0" w:color="auto"/>
                                    <w:bottom w:val="none" w:sz="0" w:space="0" w:color="auto"/>
                                    <w:right w:val="none" w:sz="0" w:space="0" w:color="auto"/>
                                  </w:divBdr>
                                </w:div>
                                <w:div w:id="1130828760">
                                  <w:marLeft w:val="0"/>
                                  <w:marRight w:val="0"/>
                                  <w:marTop w:val="0"/>
                                  <w:marBottom w:val="0"/>
                                  <w:divBdr>
                                    <w:top w:val="none" w:sz="0" w:space="0" w:color="auto"/>
                                    <w:left w:val="none" w:sz="0" w:space="0" w:color="auto"/>
                                    <w:bottom w:val="none" w:sz="0" w:space="0" w:color="auto"/>
                                    <w:right w:val="none" w:sz="0" w:space="0" w:color="auto"/>
                                  </w:divBdr>
                                </w:div>
                                <w:div w:id="16830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32922">
      <w:bodyDiv w:val="1"/>
      <w:marLeft w:val="0"/>
      <w:marRight w:val="0"/>
      <w:marTop w:val="0"/>
      <w:marBottom w:val="0"/>
      <w:divBdr>
        <w:top w:val="none" w:sz="0" w:space="0" w:color="auto"/>
        <w:left w:val="none" w:sz="0" w:space="0" w:color="auto"/>
        <w:bottom w:val="none" w:sz="0" w:space="0" w:color="auto"/>
        <w:right w:val="none" w:sz="0" w:space="0" w:color="auto"/>
      </w:divBdr>
      <w:divsChild>
        <w:div w:id="266352463">
          <w:marLeft w:val="0"/>
          <w:marRight w:val="0"/>
          <w:marTop w:val="0"/>
          <w:marBottom w:val="0"/>
          <w:divBdr>
            <w:top w:val="none" w:sz="0" w:space="0" w:color="auto"/>
            <w:left w:val="none" w:sz="0" w:space="0" w:color="auto"/>
            <w:bottom w:val="none" w:sz="0" w:space="0" w:color="auto"/>
            <w:right w:val="none" w:sz="0" w:space="0" w:color="auto"/>
          </w:divBdr>
          <w:divsChild>
            <w:div w:id="1387680330">
              <w:marLeft w:val="150"/>
              <w:marRight w:val="150"/>
              <w:marTop w:val="0"/>
              <w:marBottom w:val="150"/>
              <w:divBdr>
                <w:top w:val="none" w:sz="0" w:space="0" w:color="auto"/>
                <w:left w:val="none" w:sz="0" w:space="0" w:color="auto"/>
                <w:bottom w:val="none" w:sz="0" w:space="0" w:color="auto"/>
                <w:right w:val="none" w:sz="0" w:space="0" w:color="auto"/>
              </w:divBdr>
              <w:divsChild>
                <w:div w:id="592319161">
                  <w:marLeft w:val="0"/>
                  <w:marRight w:val="0"/>
                  <w:marTop w:val="0"/>
                  <w:marBottom w:val="0"/>
                  <w:divBdr>
                    <w:top w:val="none" w:sz="0" w:space="0" w:color="auto"/>
                    <w:left w:val="none" w:sz="0" w:space="0" w:color="auto"/>
                    <w:bottom w:val="none" w:sz="0" w:space="0" w:color="auto"/>
                    <w:right w:val="none" w:sz="0" w:space="0" w:color="auto"/>
                  </w:divBdr>
                  <w:divsChild>
                    <w:div w:id="1020816282">
                      <w:marLeft w:val="0"/>
                      <w:marRight w:val="0"/>
                      <w:marTop w:val="0"/>
                      <w:marBottom w:val="0"/>
                      <w:divBdr>
                        <w:top w:val="none" w:sz="0" w:space="0" w:color="auto"/>
                        <w:left w:val="none" w:sz="0" w:space="0" w:color="auto"/>
                        <w:bottom w:val="none" w:sz="0" w:space="0" w:color="auto"/>
                        <w:right w:val="none" w:sz="0" w:space="0" w:color="auto"/>
                      </w:divBdr>
                      <w:divsChild>
                        <w:div w:id="988443534">
                          <w:marLeft w:val="0"/>
                          <w:marRight w:val="0"/>
                          <w:marTop w:val="0"/>
                          <w:marBottom w:val="0"/>
                          <w:divBdr>
                            <w:top w:val="none" w:sz="0" w:space="0" w:color="auto"/>
                            <w:left w:val="none" w:sz="0" w:space="0" w:color="auto"/>
                            <w:bottom w:val="none" w:sz="0" w:space="0" w:color="auto"/>
                            <w:right w:val="none" w:sz="0" w:space="0" w:color="auto"/>
                          </w:divBdr>
                          <w:divsChild>
                            <w:div w:id="1733767103">
                              <w:marLeft w:val="0"/>
                              <w:marRight w:val="0"/>
                              <w:marTop w:val="0"/>
                              <w:marBottom w:val="0"/>
                              <w:divBdr>
                                <w:top w:val="none" w:sz="0" w:space="0" w:color="auto"/>
                                <w:left w:val="none" w:sz="0" w:space="0" w:color="auto"/>
                                <w:bottom w:val="none" w:sz="0" w:space="0" w:color="auto"/>
                                <w:right w:val="none" w:sz="0" w:space="0" w:color="auto"/>
                              </w:divBdr>
                              <w:divsChild>
                                <w:div w:id="1168638462">
                                  <w:marLeft w:val="0"/>
                                  <w:marRight w:val="0"/>
                                  <w:marTop w:val="0"/>
                                  <w:marBottom w:val="0"/>
                                  <w:divBdr>
                                    <w:top w:val="none" w:sz="0" w:space="0" w:color="auto"/>
                                    <w:left w:val="none" w:sz="0" w:space="0" w:color="auto"/>
                                    <w:bottom w:val="none" w:sz="0" w:space="0" w:color="auto"/>
                                    <w:right w:val="none" w:sz="0" w:space="0" w:color="auto"/>
                                  </w:divBdr>
                                </w:div>
                                <w:div w:id="1886024735">
                                  <w:marLeft w:val="0"/>
                                  <w:marRight w:val="0"/>
                                  <w:marTop w:val="0"/>
                                  <w:marBottom w:val="0"/>
                                  <w:divBdr>
                                    <w:top w:val="none" w:sz="0" w:space="0" w:color="auto"/>
                                    <w:left w:val="none" w:sz="0" w:space="0" w:color="auto"/>
                                    <w:bottom w:val="none" w:sz="0" w:space="0" w:color="auto"/>
                                    <w:right w:val="none" w:sz="0" w:space="0" w:color="auto"/>
                                  </w:divBdr>
                                </w:div>
                                <w:div w:id="19278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19998">
      <w:bodyDiv w:val="1"/>
      <w:marLeft w:val="0"/>
      <w:marRight w:val="0"/>
      <w:marTop w:val="0"/>
      <w:marBottom w:val="0"/>
      <w:divBdr>
        <w:top w:val="none" w:sz="0" w:space="0" w:color="auto"/>
        <w:left w:val="none" w:sz="0" w:space="0" w:color="auto"/>
        <w:bottom w:val="none" w:sz="0" w:space="0" w:color="auto"/>
        <w:right w:val="none" w:sz="0" w:space="0" w:color="auto"/>
      </w:divBdr>
      <w:divsChild>
        <w:div w:id="1879900246">
          <w:marLeft w:val="0"/>
          <w:marRight w:val="0"/>
          <w:marTop w:val="0"/>
          <w:marBottom w:val="0"/>
          <w:divBdr>
            <w:top w:val="none" w:sz="0" w:space="0" w:color="auto"/>
            <w:left w:val="none" w:sz="0" w:space="0" w:color="auto"/>
            <w:bottom w:val="none" w:sz="0" w:space="0" w:color="auto"/>
            <w:right w:val="none" w:sz="0" w:space="0" w:color="auto"/>
          </w:divBdr>
          <w:divsChild>
            <w:div w:id="1619021325">
              <w:marLeft w:val="150"/>
              <w:marRight w:val="150"/>
              <w:marTop w:val="0"/>
              <w:marBottom w:val="150"/>
              <w:divBdr>
                <w:top w:val="none" w:sz="0" w:space="0" w:color="auto"/>
                <w:left w:val="none" w:sz="0" w:space="0" w:color="auto"/>
                <w:bottom w:val="none" w:sz="0" w:space="0" w:color="auto"/>
                <w:right w:val="none" w:sz="0" w:space="0" w:color="auto"/>
              </w:divBdr>
              <w:divsChild>
                <w:div w:id="1647853485">
                  <w:marLeft w:val="0"/>
                  <w:marRight w:val="0"/>
                  <w:marTop w:val="0"/>
                  <w:marBottom w:val="0"/>
                  <w:divBdr>
                    <w:top w:val="none" w:sz="0" w:space="0" w:color="auto"/>
                    <w:left w:val="none" w:sz="0" w:space="0" w:color="auto"/>
                    <w:bottom w:val="none" w:sz="0" w:space="0" w:color="auto"/>
                    <w:right w:val="none" w:sz="0" w:space="0" w:color="auto"/>
                  </w:divBdr>
                  <w:divsChild>
                    <w:div w:id="869075484">
                      <w:marLeft w:val="0"/>
                      <w:marRight w:val="0"/>
                      <w:marTop w:val="0"/>
                      <w:marBottom w:val="0"/>
                      <w:divBdr>
                        <w:top w:val="none" w:sz="0" w:space="0" w:color="auto"/>
                        <w:left w:val="none" w:sz="0" w:space="0" w:color="auto"/>
                        <w:bottom w:val="none" w:sz="0" w:space="0" w:color="auto"/>
                        <w:right w:val="none" w:sz="0" w:space="0" w:color="auto"/>
                      </w:divBdr>
                      <w:divsChild>
                        <w:div w:id="626860149">
                          <w:marLeft w:val="0"/>
                          <w:marRight w:val="0"/>
                          <w:marTop w:val="0"/>
                          <w:marBottom w:val="0"/>
                          <w:divBdr>
                            <w:top w:val="none" w:sz="0" w:space="0" w:color="auto"/>
                            <w:left w:val="none" w:sz="0" w:space="0" w:color="auto"/>
                            <w:bottom w:val="none" w:sz="0" w:space="0" w:color="auto"/>
                            <w:right w:val="none" w:sz="0" w:space="0" w:color="auto"/>
                          </w:divBdr>
                          <w:divsChild>
                            <w:div w:id="865488235">
                              <w:marLeft w:val="0"/>
                              <w:marRight w:val="0"/>
                              <w:marTop w:val="0"/>
                              <w:marBottom w:val="0"/>
                              <w:divBdr>
                                <w:top w:val="none" w:sz="0" w:space="0" w:color="auto"/>
                                <w:left w:val="none" w:sz="0" w:space="0" w:color="auto"/>
                                <w:bottom w:val="none" w:sz="0" w:space="0" w:color="auto"/>
                                <w:right w:val="none" w:sz="0" w:space="0" w:color="auto"/>
                              </w:divBdr>
                              <w:divsChild>
                                <w:div w:id="1686903192">
                                  <w:marLeft w:val="0"/>
                                  <w:marRight w:val="0"/>
                                  <w:marTop w:val="0"/>
                                  <w:marBottom w:val="0"/>
                                  <w:divBdr>
                                    <w:top w:val="none" w:sz="0" w:space="0" w:color="auto"/>
                                    <w:left w:val="none" w:sz="0" w:space="0" w:color="auto"/>
                                    <w:bottom w:val="none" w:sz="0" w:space="0" w:color="auto"/>
                                    <w:right w:val="none" w:sz="0" w:space="0" w:color="auto"/>
                                  </w:divBdr>
                                </w:div>
                                <w:div w:id="18378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092996">
      <w:bodyDiv w:val="1"/>
      <w:marLeft w:val="0"/>
      <w:marRight w:val="0"/>
      <w:marTop w:val="0"/>
      <w:marBottom w:val="0"/>
      <w:divBdr>
        <w:top w:val="none" w:sz="0" w:space="0" w:color="auto"/>
        <w:left w:val="none" w:sz="0" w:space="0" w:color="auto"/>
        <w:bottom w:val="none" w:sz="0" w:space="0" w:color="auto"/>
        <w:right w:val="none" w:sz="0" w:space="0" w:color="auto"/>
      </w:divBdr>
      <w:divsChild>
        <w:div w:id="1674918382">
          <w:marLeft w:val="0"/>
          <w:marRight w:val="0"/>
          <w:marTop w:val="0"/>
          <w:marBottom w:val="0"/>
          <w:divBdr>
            <w:top w:val="none" w:sz="0" w:space="0" w:color="auto"/>
            <w:left w:val="none" w:sz="0" w:space="0" w:color="auto"/>
            <w:bottom w:val="none" w:sz="0" w:space="0" w:color="auto"/>
            <w:right w:val="none" w:sz="0" w:space="0" w:color="auto"/>
          </w:divBdr>
          <w:divsChild>
            <w:div w:id="342900116">
              <w:marLeft w:val="150"/>
              <w:marRight w:val="150"/>
              <w:marTop w:val="0"/>
              <w:marBottom w:val="150"/>
              <w:divBdr>
                <w:top w:val="none" w:sz="0" w:space="0" w:color="auto"/>
                <w:left w:val="none" w:sz="0" w:space="0" w:color="auto"/>
                <w:bottom w:val="none" w:sz="0" w:space="0" w:color="auto"/>
                <w:right w:val="none" w:sz="0" w:space="0" w:color="auto"/>
              </w:divBdr>
              <w:divsChild>
                <w:div w:id="1437402480">
                  <w:marLeft w:val="0"/>
                  <w:marRight w:val="0"/>
                  <w:marTop w:val="0"/>
                  <w:marBottom w:val="0"/>
                  <w:divBdr>
                    <w:top w:val="none" w:sz="0" w:space="0" w:color="auto"/>
                    <w:left w:val="none" w:sz="0" w:space="0" w:color="auto"/>
                    <w:bottom w:val="none" w:sz="0" w:space="0" w:color="auto"/>
                    <w:right w:val="none" w:sz="0" w:space="0" w:color="auto"/>
                  </w:divBdr>
                  <w:divsChild>
                    <w:div w:id="329793706">
                      <w:marLeft w:val="0"/>
                      <w:marRight w:val="0"/>
                      <w:marTop w:val="0"/>
                      <w:marBottom w:val="0"/>
                      <w:divBdr>
                        <w:top w:val="none" w:sz="0" w:space="0" w:color="auto"/>
                        <w:left w:val="none" w:sz="0" w:space="0" w:color="auto"/>
                        <w:bottom w:val="none" w:sz="0" w:space="0" w:color="auto"/>
                        <w:right w:val="none" w:sz="0" w:space="0" w:color="auto"/>
                      </w:divBdr>
                      <w:divsChild>
                        <w:div w:id="564947609">
                          <w:marLeft w:val="0"/>
                          <w:marRight w:val="0"/>
                          <w:marTop w:val="0"/>
                          <w:marBottom w:val="0"/>
                          <w:divBdr>
                            <w:top w:val="none" w:sz="0" w:space="0" w:color="auto"/>
                            <w:left w:val="none" w:sz="0" w:space="0" w:color="auto"/>
                            <w:bottom w:val="none" w:sz="0" w:space="0" w:color="auto"/>
                            <w:right w:val="none" w:sz="0" w:space="0" w:color="auto"/>
                          </w:divBdr>
                          <w:divsChild>
                            <w:div w:id="1713265131">
                              <w:marLeft w:val="0"/>
                              <w:marRight w:val="0"/>
                              <w:marTop w:val="0"/>
                              <w:marBottom w:val="0"/>
                              <w:divBdr>
                                <w:top w:val="none" w:sz="0" w:space="0" w:color="auto"/>
                                <w:left w:val="none" w:sz="0" w:space="0" w:color="auto"/>
                                <w:bottom w:val="none" w:sz="0" w:space="0" w:color="auto"/>
                                <w:right w:val="none" w:sz="0" w:space="0" w:color="auto"/>
                              </w:divBdr>
                              <w:divsChild>
                                <w:div w:id="2096438085">
                                  <w:marLeft w:val="0"/>
                                  <w:marRight w:val="0"/>
                                  <w:marTop w:val="0"/>
                                  <w:marBottom w:val="0"/>
                                  <w:divBdr>
                                    <w:top w:val="none" w:sz="0" w:space="0" w:color="auto"/>
                                    <w:left w:val="none" w:sz="0" w:space="0" w:color="auto"/>
                                    <w:bottom w:val="none" w:sz="0" w:space="0" w:color="auto"/>
                                    <w:right w:val="none" w:sz="0" w:space="0" w:color="auto"/>
                                  </w:divBdr>
                                </w:div>
                                <w:div w:id="629868570">
                                  <w:marLeft w:val="0"/>
                                  <w:marRight w:val="0"/>
                                  <w:marTop w:val="0"/>
                                  <w:marBottom w:val="0"/>
                                  <w:divBdr>
                                    <w:top w:val="none" w:sz="0" w:space="0" w:color="auto"/>
                                    <w:left w:val="none" w:sz="0" w:space="0" w:color="auto"/>
                                    <w:bottom w:val="none" w:sz="0" w:space="0" w:color="auto"/>
                                    <w:right w:val="none" w:sz="0" w:space="0" w:color="auto"/>
                                  </w:divBdr>
                                </w:div>
                                <w:div w:id="1356813385">
                                  <w:marLeft w:val="0"/>
                                  <w:marRight w:val="0"/>
                                  <w:marTop w:val="0"/>
                                  <w:marBottom w:val="0"/>
                                  <w:divBdr>
                                    <w:top w:val="none" w:sz="0" w:space="0" w:color="auto"/>
                                    <w:left w:val="none" w:sz="0" w:space="0" w:color="auto"/>
                                    <w:bottom w:val="none" w:sz="0" w:space="0" w:color="auto"/>
                                    <w:right w:val="none" w:sz="0" w:space="0" w:color="auto"/>
                                  </w:divBdr>
                                </w:div>
                                <w:div w:id="346837207">
                                  <w:marLeft w:val="0"/>
                                  <w:marRight w:val="0"/>
                                  <w:marTop w:val="0"/>
                                  <w:marBottom w:val="0"/>
                                  <w:divBdr>
                                    <w:top w:val="none" w:sz="0" w:space="0" w:color="auto"/>
                                    <w:left w:val="none" w:sz="0" w:space="0" w:color="auto"/>
                                    <w:bottom w:val="none" w:sz="0" w:space="0" w:color="auto"/>
                                    <w:right w:val="none" w:sz="0" w:space="0" w:color="auto"/>
                                  </w:divBdr>
                                </w:div>
                                <w:div w:id="15120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192190">
      <w:bodyDiv w:val="1"/>
      <w:marLeft w:val="0"/>
      <w:marRight w:val="0"/>
      <w:marTop w:val="0"/>
      <w:marBottom w:val="0"/>
      <w:divBdr>
        <w:top w:val="none" w:sz="0" w:space="0" w:color="auto"/>
        <w:left w:val="none" w:sz="0" w:space="0" w:color="auto"/>
        <w:bottom w:val="none" w:sz="0" w:space="0" w:color="auto"/>
        <w:right w:val="none" w:sz="0" w:space="0" w:color="auto"/>
      </w:divBdr>
      <w:divsChild>
        <w:div w:id="1830632752">
          <w:marLeft w:val="0"/>
          <w:marRight w:val="0"/>
          <w:marTop w:val="0"/>
          <w:marBottom w:val="0"/>
          <w:divBdr>
            <w:top w:val="none" w:sz="0" w:space="0" w:color="auto"/>
            <w:left w:val="none" w:sz="0" w:space="0" w:color="auto"/>
            <w:bottom w:val="none" w:sz="0" w:space="0" w:color="auto"/>
            <w:right w:val="none" w:sz="0" w:space="0" w:color="auto"/>
          </w:divBdr>
          <w:divsChild>
            <w:div w:id="897981802">
              <w:marLeft w:val="0"/>
              <w:marRight w:val="0"/>
              <w:marTop w:val="0"/>
              <w:marBottom w:val="0"/>
              <w:divBdr>
                <w:top w:val="none" w:sz="0" w:space="0" w:color="auto"/>
                <w:left w:val="none" w:sz="0" w:space="0" w:color="auto"/>
                <w:bottom w:val="none" w:sz="0" w:space="0" w:color="auto"/>
                <w:right w:val="none" w:sz="0" w:space="0" w:color="auto"/>
              </w:divBdr>
              <w:divsChild>
                <w:div w:id="1919091033">
                  <w:marLeft w:val="0"/>
                  <w:marRight w:val="0"/>
                  <w:marTop w:val="0"/>
                  <w:marBottom w:val="0"/>
                  <w:divBdr>
                    <w:top w:val="none" w:sz="0" w:space="0" w:color="auto"/>
                    <w:left w:val="none" w:sz="0" w:space="0" w:color="auto"/>
                    <w:bottom w:val="none" w:sz="0" w:space="0" w:color="auto"/>
                    <w:right w:val="none" w:sz="0" w:space="0" w:color="auto"/>
                  </w:divBdr>
                  <w:divsChild>
                    <w:div w:id="2035033097">
                      <w:marLeft w:val="0"/>
                      <w:marRight w:val="0"/>
                      <w:marTop w:val="0"/>
                      <w:marBottom w:val="0"/>
                      <w:divBdr>
                        <w:top w:val="none" w:sz="0" w:space="0" w:color="auto"/>
                        <w:left w:val="none" w:sz="0" w:space="0" w:color="auto"/>
                        <w:bottom w:val="none" w:sz="0" w:space="0" w:color="auto"/>
                        <w:right w:val="none" w:sz="0" w:space="0" w:color="auto"/>
                      </w:divBdr>
                      <w:divsChild>
                        <w:div w:id="147206669">
                          <w:marLeft w:val="0"/>
                          <w:marRight w:val="0"/>
                          <w:marTop w:val="0"/>
                          <w:marBottom w:val="0"/>
                          <w:divBdr>
                            <w:top w:val="none" w:sz="0" w:space="0" w:color="auto"/>
                            <w:left w:val="none" w:sz="0" w:space="0" w:color="auto"/>
                            <w:bottom w:val="none" w:sz="0" w:space="0" w:color="auto"/>
                            <w:right w:val="none" w:sz="0" w:space="0" w:color="auto"/>
                          </w:divBdr>
                        </w:div>
                        <w:div w:id="599535249">
                          <w:marLeft w:val="0"/>
                          <w:marRight w:val="0"/>
                          <w:marTop w:val="0"/>
                          <w:marBottom w:val="0"/>
                          <w:divBdr>
                            <w:top w:val="none" w:sz="0" w:space="0" w:color="auto"/>
                            <w:left w:val="none" w:sz="0" w:space="0" w:color="auto"/>
                            <w:bottom w:val="none" w:sz="0" w:space="0" w:color="auto"/>
                            <w:right w:val="none" w:sz="0" w:space="0" w:color="auto"/>
                          </w:divBdr>
                        </w:div>
                        <w:div w:id="1793399633">
                          <w:marLeft w:val="0"/>
                          <w:marRight w:val="0"/>
                          <w:marTop w:val="0"/>
                          <w:marBottom w:val="0"/>
                          <w:divBdr>
                            <w:top w:val="none" w:sz="0" w:space="0" w:color="auto"/>
                            <w:left w:val="none" w:sz="0" w:space="0" w:color="auto"/>
                            <w:bottom w:val="none" w:sz="0" w:space="0" w:color="auto"/>
                            <w:right w:val="none" w:sz="0" w:space="0" w:color="auto"/>
                          </w:divBdr>
                          <w:divsChild>
                            <w:div w:id="1422950181">
                              <w:marLeft w:val="0"/>
                              <w:marRight w:val="0"/>
                              <w:marTop w:val="0"/>
                              <w:marBottom w:val="0"/>
                              <w:divBdr>
                                <w:top w:val="none" w:sz="0" w:space="0" w:color="auto"/>
                                <w:left w:val="none" w:sz="0" w:space="0" w:color="auto"/>
                                <w:bottom w:val="none" w:sz="0" w:space="0" w:color="auto"/>
                                <w:right w:val="none" w:sz="0" w:space="0" w:color="auto"/>
                              </w:divBdr>
                              <w:divsChild>
                                <w:div w:id="185409437">
                                  <w:marLeft w:val="0"/>
                                  <w:marRight w:val="0"/>
                                  <w:marTop w:val="0"/>
                                  <w:marBottom w:val="0"/>
                                  <w:divBdr>
                                    <w:top w:val="none" w:sz="0" w:space="0" w:color="auto"/>
                                    <w:left w:val="none" w:sz="0" w:space="0" w:color="auto"/>
                                    <w:bottom w:val="none" w:sz="0" w:space="0" w:color="auto"/>
                                    <w:right w:val="none" w:sz="0" w:space="0" w:color="auto"/>
                                  </w:divBdr>
                                  <w:divsChild>
                                    <w:div w:id="1280069887">
                                      <w:marLeft w:val="0"/>
                                      <w:marRight w:val="0"/>
                                      <w:marTop w:val="0"/>
                                      <w:marBottom w:val="0"/>
                                      <w:divBdr>
                                        <w:top w:val="none" w:sz="0" w:space="0" w:color="auto"/>
                                        <w:left w:val="none" w:sz="0" w:space="0" w:color="auto"/>
                                        <w:bottom w:val="none" w:sz="0" w:space="0" w:color="auto"/>
                                        <w:right w:val="none" w:sz="0" w:space="0" w:color="auto"/>
                                      </w:divBdr>
                                      <w:divsChild>
                                        <w:div w:id="1299411688">
                                          <w:marLeft w:val="0"/>
                                          <w:marRight w:val="0"/>
                                          <w:marTop w:val="0"/>
                                          <w:marBottom w:val="0"/>
                                          <w:divBdr>
                                            <w:top w:val="none" w:sz="0" w:space="0" w:color="auto"/>
                                            <w:left w:val="none" w:sz="0" w:space="0" w:color="auto"/>
                                            <w:bottom w:val="none" w:sz="0" w:space="0" w:color="auto"/>
                                            <w:right w:val="none" w:sz="0" w:space="0" w:color="auto"/>
                                          </w:divBdr>
                                          <w:divsChild>
                                            <w:div w:id="976107045">
                                              <w:marLeft w:val="0"/>
                                              <w:marRight w:val="0"/>
                                              <w:marTop w:val="0"/>
                                              <w:marBottom w:val="0"/>
                                              <w:divBdr>
                                                <w:top w:val="none" w:sz="0" w:space="0" w:color="auto"/>
                                                <w:left w:val="none" w:sz="0" w:space="0" w:color="auto"/>
                                                <w:bottom w:val="none" w:sz="0" w:space="0" w:color="auto"/>
                                                <w:right w:val="none" w:sz="0" w:space="0" w:color="auto"/>
                                              </w:divBdr>
                                              <w:divsChild>
                                                <w:div w:id="3894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5010">
                                      <w:marLeft w:val="0"/>
                                      <w:marRight w:val="0"/>
                                      <w:marTop w:val="0"/>
                                      <w:marBottom w:val="0"/>
                                      <w:divBdr>
                                        <w:top w:val="none" w:sz="0" w:space="0" w:color="auto"/>
                                        <w:left w:val="none" w:sz="0" w:space="0" w:color="auto"/>
                                        <w:bottom w:val="none" w:sz="0" w:space="0" w:color="auto"/>
                                        <w:right w:val="none" w:sz="0" w:space="0" w:color="auto"/>
                                      </w:divBdr>
                                      <w:divsChild>
                                        <w:div w:id="538512029">
                                          <w:marLeft w:val="0"/>
                                          <w:marRight w:val="0"/>
                                          <w:marTop w:val="0"/>
                                          <w:marBottom w:val="0"/>
                                          <w:divBdr>
                                            <w:top w:val="none" w:sz="0" w:space="0" w:color="auto"/>
                                            <w:left w:val="none" w:sz="0" w:space="0" w:color="auto"/>
                                            <w:bottom w:val="none" w:sz="0" w:space="0" w:color="auto"/>
                                            <w:right w:val="none" w:sz="0" w:space="0" w:color="auto"/>
                                          </w:divBdr>
                                          <w:divsChild>
                                            <w:div w:id="473256706">
                                              <w:marLeft w:val="0"/>
                                              <w:marRight w:val="0"/>
                                              <w:marTop w:val="0"/>
                                              <w:marBottom w:val="0"/>
                                              <w:divBdr>
                                                <w:top w:val="none" w:sz="0" w:space="0" w:color="auto"/>
                                                <w:left w:val="none" w:sz="0" w:space="0" w:color="auto"/>
                                                <w:bottom w:val="none" w:sz="0" w:space="0" w:color="auto"/>
                                                <w:right w:val="none" w:sz="0" w:space="0" w:color="auto"/>
                                              </w:divBdr>
                                              <w:divsChild>
                                                <w:div w:id="209075475">
                                                  <w:marLeft w:val="0"/>
                                                  <w:marRight w:val="0"/>
                                                  <w:marTop w:val="0"/>
                                                  <w:marBottom w:val="0"/>
                                                  <w:divBdr>
                                                    <w:top w:val="none" w:sz="0" w:space="0" w:color="auto"/>
                                                    <w:left w:val="none" w:sz="0" w:space="0" w:color="auto"/>
                                                    <w:bottom w:val="none" w:sz="0" w:space="0" w:color="auto"/>
                                                    <w:right w:val="none" w:sz="0" w:space="0" w:color="auto"/>
                                                  </w:divBdr>
                                                  <w:divsChild>
                                                    <w:div w:id="569967927">
                                                      <w:marLeft w:val="0"/>
                                                      <w:marRight w:val="0"/>
                                                      <w:marTop w:val="0"/>
                                                      <w:marBottom w:val="0"/>
                                                      <w:divBdr>
                                                        <w:top w:val="none" w:sz="0" w:space="0" w:color="auto"/>
                                                        <w:left w:val="none" w:sz="0" w:space="0" w:color="auto"/>
                                                        <w:bottom w:val="none" w:sz="0" w:space="0" w:color="auto"/>
                                                        <w:right w:val="none" w:sz="0" w:space="0" w:color="auto"/>
                                                      </w:divBdr>
                                                      <w:divsChild>
                                                        <w:div w:id="447046396">
                                                          <w:marLeft w:val="0"/>
                                                          <w:marRight w:val="0"/>
                                                          <w:marTop w:val="0"/>
                                                          <w:marBottom w:val="0"/>
                                                          <w:divBdr>
                                                            <w:top w:val="none" w:sz="0" w:space="0" w:color="auto"/>
                                                            <w:left w:val="none" w:sz="0" w:space="0" w:color="auto"/>
                                                            <w:bottom w:val="none" w:sz="0" w:space="0" w:color="auto"/>
                                                            <w:right w:val="none" w:sz="0" w:space="0" w:color="auto"/>
                                                          </w:divBdr>
                                                        </w:div>
                                                        <w:div w:id="899100035">
                                                          <w:marLeft w:val="0"/>
                                                          <w:marRight w:val="0"/>
                                                          <w:marTop w:val="0"/>
                                                          <w:marBottom w:val="0"/>
                                                          <w:divBdr>
                                                            <w:top w:val="none" w:sz="0" w:space="0" w:color="auto"/>
                                                            <w:left w:val="none" w:sz="0" w:space="0" w:color="auto"/>
                                                            <w:bottom w:val="none" w:sz="0" w:space="0" w:color="auto"/>
                                                            <w:right w:val="none" w:sz="0" w:space="0" w:color="auto"/>
                                                          </w:divBdr>
                                                          <w:divsChild>
                                                            <w:div w:id="1510490263">
                                                              <w:marLeft w:val="0"/>
                                                              <w:marRight w:val="0"/>
                                                              <w:marTop w:val="0"/>
                                                              <w:marBottom w:val="0"/>
                                                              <w:divBdr>
                                                                <w:top w:val="none" w:sz="0" w:space="0" w:color="auto"/>
                                                                <w:left w:val="none" w:sz="0" w:space="0" w:color="auto"/>
                                                                <w:bottom w:val="none" w:sz="0" w:space="0" w:color="auto"/>
                                                                <w:right w:val="none" w:sz="0" w:space="0" w:color="auto"/>
                                                              </w:divBdr>
                                                              <w:divsChild>
                                                                <w:div w:id="630476711">
                                                                  <w:marLeft w:val="0"/>
                                                                  <w:marRight w:val="0"/>
                                                                  <w:marTop w:val="0"/>
                                                                  <w:marBottom w:val="0"/>
                                                                  <w:divBdr>
                                                                    <w:top w:val="none" w:sz="0" w:space="0" w:color="auto"/>
                                                                    <w:left w:val="none" w:sz="0" w:space="0" w:color="auto"/>
                                                                    <w:bottom w:val="none" w:sz="0" w:space="0" w:color="auto"/>
                                                                    <w:right w:val="none" w:sz="0" w:space="0" w:color="auto"/>
                                                                  </w:divBdr>
                                                                </w:div>
                                                              </w:divsChild>
                                                            </w:div>
                                                            <w:div w:id="91753680">
                                                              <w:marLeft w:val="0"/>
                                                              <w:marRight w:val="0"/>
                                                              <w:marTop w:val="0"/>
                                                              <w:marBottom w:val="0"/>
                                                              <w:divBdr>
                                                                <w:top w:val="none" w:sz="0" w:space="0" w:color="auto"/>
                                                                <w:left w:val="none" w:sz="0" w:space="0" w:color="auto"/>
                                                                <w:bottom w:val="none" w:sz="0" w:space="0" w:color="auto"/>
                                                                <w:right w:val="none" w:sz="0" w:space="0" w:color="auto"/>
                                                              </w:divBdr>
                                                              <w:divsChild>
                                                                <w:div w:id="396632263">
                                                                  <w:marLeft w:val="0"/>
                                                                  <w:marRight w:val="0"/>
                                                                  <w:marTop w:val="0"/>
                                                                  <w:marBottom w:val="0"/>
                                                                  <w:divBdr>
                                                                    <w:top w:val="none" w:sz="0" w:space="0" w:color="auto"/>
                                                                    <w:left w:val="none" w:sz="0" w:space="0" w:color="auto"/>
                                                                    <w:bottom w:val="none" w:sz="0" w:space="0" w:color="auto"/>
                                                                    <w:right w:val="none" w:sz="0" w:space="0" w:color="auto"/>
                                                                  </w:divBdr>
                                                                </w:div>
                                                              </w:divsChild>
                                                            </w:div>
                                                            <w:div w:id="836462674">
                                                              <w:marLeft w:val="0"/>
                                                              <w:marRight w:val="0"/>
                                                              <w:marTop w:val="0"/>
                                                              <w:marBottom w:val="0"/>
                                                              <w:divBdr>
                                                                <w:top w:val="none" w:sz="0" w:space="0" w:color="auto"/>
                                                                <w:left w:val="none" w:sz="0" w:space="0" w:color="auto"/>
                                                                <w:bottom w:val="none" w:sz="0" w:space="0" w:color="auto"/>
                                                                <w:right w:val="none" w:sz="0" w:space="0" w:color="auto"/>
                                                              </w:divBdr>
                                                              <w:divsChild>
                                                                <w:div w:id="20888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026250">
                                      <w:marLeft w:val="0"/>
                                      <w:marRight w:val="0"/>
                                      <w:marTop w:val="0"/>
                                      <w:marBottom w:val="0"/>
                                      <w:divBdr>
                                        <w:top w:val="none" w:sz="0" w:space="0" w:color="auto"/>
                                        <w:left w:val="none" w:sz="0" w:space="0" w:color="auto"/>
                                        <w:bottom w:val="none" w:sz="0" w:space="0" w:color="auto"/>
                                        <w:right w:val="none" w:sz="0" w:space="0" w:color="auto"/>
                                      </w:divBdr>
                                      <w:divsChild>
                                        <w:div w:id="451555322">
                                          <w:marLeft w:val="0"/>
                                          <w:marRight w:val="0"/>
                                          <w:marTop w:val="0"/>
                                          <w:marBottom w:val="0"/>
                                          <w:divBdr>
                                            <w:top w:val="none" w:sz="0" w:space="0" w:color="auto"/>
                                            <w:left w:val="none" w:sz="0" w:space="0" w:color="auto"/>
                                            <w:bottom w:val="none" w:sz="0" w:space="0" w:color="auto"/>
                                            <w:right w:val="none" w:sz="0" w:space="0" w:color="auto"/>
                                          </w:divBdr>
                                          <w:divsChild>
                                            <w:div w:id="769547711">
                                              <w:marLeft w:val="0"/>
                                              <w:marRight w:val="0"/>
                                              <w:marTop w:val="0"/>
                                              <w:marBottom w:val="0"/>
                                              <w:divBdr>
                                                <w:top w:val="none" w:sz="0" w:space="0" w:color="auto"/>
                                                <w:left w:val="none" w:sz="0" w:space="0" w:color="auto"/>
                                                <w:bottom w:val="none" w:sz="0" w:space="0" w:color="auto"/>
                                                <w:right w:val="none" w:sz="0" w:space="0" w:color="auto"/>
                                              </w:divBdr>
                                              <w:divsChild>
                                                <w:div w:id="280189963">
                                                  <w:marLeft w:val="0"/>
                                                  <w:marRight w:val="0"/>
                                                  <w:marTop w:val="0"/>
                                                  <w:marBottom w:val="0"/>
                                                  <w:divBdr>
                                                    <w:top w:val="none" w:sz="0" w:space="0" w:color="auto"/>
                                                    <w:left w:val="none" w:sz="0" w:space="0" w:color="auto"/>
                                                    <w:bottom w:val="none" w:sz="0" w:space="0" w:color="auto"/>
                                                    <w:right w:val="none" w:sz="0" w:space="0" w:color="auto"/>
                                                  </w:divBdr>
                                                  <w:divsChild>
                                                    <w:div w:id="1913351032">
                                                      <w:marLeft w:val="0"/>
                                                      <w:marRight w:val="0"/>
                                                      <w:marTop w:val="0"/>
                                                      <w:marBottom w:val="0"/>
                                                      <w:divBdr>
                                                        <w:top w:val="none" w:sz="0" w:space="0" w:color="auto"/>
                                                        <w:left w:val="none" w:sz="0" w:space="0" w:color="auto"/>
                                                        <w:bottom w:val="none" w:sz="0" w:space="0" w:color="auto"/>
                                                        <w:right w:val="none" w:sz="0" w:space="0" w:color="auto"/>
                                                      </w:divBdr>
                                                      <w:divsChild>
                                                        <w:div w:id="1836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472824">
                                          <w:marLeft w:val="0"/>
                                          <w:marRight w:val="0"/>
                                          <w:marTop w:val="0"/>
                                          <w:marBottom w:val="0"/>
                                          <w:divBdr>
                                            <w:top w:val="none" w:sz="0" w:space="0" w:color="auto"/>
                                            <w:left w:val="none" w:sz="0" w:space="0" w:color="auto"/>
                                            <w:bottom w:val="none" w:sz="0" w:space="0" w:color="auto"/>
                                            <w:right w:val="none" w:sz="0" w:space="0" w:color="auto"/>
                                          </w:divBdr>
                                          <w:divsChild>
                                            <w:div w:id="2645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5174385">
      <w:bodyDiv w:val="1"/>
      <w:marLeft w:val="0"/>
      <w:marRight w:val="0"/>
      <w:marTop w:val="0"/>
      <w:marBottom w:val="0"/>
      <w:divBdr>
        <w:top w:val="none" w:sz="0" w:space="0" w:color="auto"/>
        <w:left w:val="none" w:sz="0" w:space="0" w:color="auto"/>
        <w:bottom w:val="none" w:sz="0" w:space="0" w:color="auto"/>
        <w:right w:val="none" w:sz="0" w:space="0" w:color="auto"/>
      </w:divBdr>
      <w:divsChild>
        <w:div w:id="1326469202">
          <w:marLeft w:val="0"/>
          <w:marRight w:val="0"/>
          <w:marTop w:val="0"/>
          <w:marBottom w:val="0"/>
          <w:divBdr>
            <w:top w:val="none" w:sz="0" w:space="0" w:color="auto"/>
            <w:left w:val="none" w:sz="0" w:space="0" w:color="auto"/>
            <w:bottom w:val="none" w:sz="0" w:space="0" w:color="auto"/>
            <w:right w:val="none" w:sz="0" w:space="0" w:color="auto"/>
          </w:divBdr>
          <w:divsChild>
            <w:div w:id="1255167244">
              <w:marLeft w:val="150"/>
              <w:marRight w:val="150"/>
              <w:marTop w:val="0"/>
              <w:marBottom w:val="150"/>
              <w:divBdr>
                <w:top w:val="none" w:sz="0" w:space="0" w:color="auto"/>
                <w:left w:val="none" w:sz="0" w:space="0" w:color="auto"/>
                <w:bottom w:val="none" w:sz="0" w:space="0" w:color="auto"/>
                <w:right w:val="none" w:sz="0" w:space="0" w:color="auto"/>
              </w:divBdr>
              <w:divsChild>
                <w:div w:id="258683759">
                  <w:marLeft w:val="0"/>
                  <w:marRight w:val="0"/>
                  <w:marTop w:val="0"/>
                  <w:marBottom w:val="0"/>
                  <w:divBdr>
                    <w:top w:val="none" w:sz="0" w:space="0" w:color="auto"/>
                    <w:left w:val="none" w:sz="0" w:space="0" w:color="auto"/>
                    <w:bottom w:val="none" w:sz="0" w:space="0" w:color="auto"/>
                    <w:right w:val="none" w:sz="0" w:space="0" w:color="auto"/>
                  </w:divBdr>
                  <w:divsChild>
                    <w:div w:id="1068653184">
                      <w:marLeft w:val="0"/>
                      <w:marRight w:val="0"/>
                      <w:marTop w:val="0"/>
                      <w:marBottom w:val="0"/>
                      <w:divBdr>
                        <w:top w:val="none" w:sz="0" w:space="0" w:color="auto"/>
                        <w:left w:val="none" w:sz="0" w:space="0" w:color="auto"/>
                        <w:bottom w:val="none" w:sz="0" w:space="0" w:color="auto"/>
                        <w:right w:val="none" w:sz="0" w:space="0" w:color="auto"/>
                      </w:divBdr>
                      <w:divsChild>
                        <w:div w:id="327948415">
                          <w:marLeft w:val="0"/>
                          <w:marRight w:val="0"/>
                          <w:marTop w:val="0"/>
                          <w:marBottom w:val="0"/>
                          <w:divBdr>
                            <w:top w:val="none" w:sz="0" w:space="0" w:color="auto"/>
                            <w:left w:val="none" w:sz="0" w:space="0" w:color="auto"/>
                            <w:bottom w:val="none" w:sz="0" w:space="0" w:color="auto"/>
                            <w:right w:val="none" w:sz="0" w:space="0" w:color="auto"/>
                          </w:divBdr>
                          <w:divsChild>
                            <w:div w:id="2110270247">
                              <w:marLeft w:val="0"/>
                              <w:marRight w:val="0"/>
                              <w:marTop w:val="0"/>
                              <w:marBottom w:val="0"/>
                              <w:divBdr>
                                <w:top w:val="none" w:sz="0" w:space="0" w:color="auto"/>
                                <w:left w:val="none" w:sz="0" w:space="0" w:color="auto"/>
                                <w:bottom w:val="none" w:sz="0" w:space="0" w:color="auto"/>
                                <w:right w:val="none" w:sz="0" w:space="0" w:color="auto"/>
                              </w:divBdr>
                              <w:divsChild>
                                <w:div w:id="874125881">
                                  <w:marLeft w:val="0"/>
                                  <w:marRight w:val="0"/>
                                  <w:marTop w:val="0"/>
                                  <w:marBottom w:val="0"/>
                                  <w:divBdr>
                                    <w:top w:val="none" w:sz="0" w:space="0" w:color="auto"/>
                                    <w:left w:val="none" w:sz="0" w:space="0" w:color="auto"/>
                                    <w:bottom w:val="none" w:sz="0" w:space="0" w:color="auto"/>
                                    <w:right w:val="none" w:sz="0" w:space="0" w:color="auto"/>
                                  </w:divBdr>
                                </w:div>
                                <w:div w:id="308439145">
                                  <w:marLeft w:val="0"/>
                                  <w:marRight w:val="0"/>
                                  <w:marTop w:val="0"/>
                                  <w:marBottom w:val="0"/>
                                  <w:divBdr>
                                    <w:top w:val="none" w:sz="0" w:space="0" w:color="auto"/>
                                    <w:left w:val="none" w:sz="0" w:space="0" w:color="auto"/>
                                    <w:bottom w:val="none" w:sz="0" w:space="0" w:color="auto"/>
                                    <w:right w:val="none" w:sz="0" w:space="0" w:color="auto"/>
                                  </w:divBdr>
                                </w:div>
                                <w:div w:id="1385177969">
                                  <w:marLeft w:val="0"/>
                                  <w:marRight w:val="0"/>
                                  <w:marTop w:val="0"/>
                                  <w:marBottom w:val="0"/>
                                  <w:divBdr>
                                    <w:top w:val="none" w:sz="0" w:space="0" w:color="auto"/>
                                    <w:left w:val="none" w:sz="0" w:space="0" w:color="auto"/>
                                    <w:bottom w:val="none" w:sz="0" w:space="0" w:color="auto"/>
                                    <w:right w:val="none" w:sz="0" w:space="0" w:color="auto"/>
                                  </w:divBdr>
                                </w:div>
                                <w:div w:id="654914069">
                                  <w:marLeft w:val="0"/>
                                  <w:marRight w:val="0"/>
                                  <w:marTop w:val="0"/>
                                  <w:marBottom w:val="0"/>
                                  <w:divBdr>
                                    <w:top w:val="none" w:sz="0" w:space="0" w:color="auto"/>
                                    <w:left w:val="none" w:sz="0" w:space="0" w:color="auto"/>
                                    <w:bottom w:val="none" w:sz="0" w:space="0" w:color="auto"/>
                                    <w:right w:val="none" w:sz="0" w:space="0" w:color="auto"/>
                                  </w:divBdr>
                                </w:div>
                                <w:div w:id="1523011381">
                                  <w:marLeft w:val="0"/>
                                  <w:marRight w:val="0"/>
                                  <w:marTop w:val="0"/>
                                  <w:marBottom w:val="0"/>
                                  <w:divBdr>
                                    <w:top w:val="none" w:sz="0" w:space="0" w:color="auto"/>
                                    <w:left w:val="none" w:sz="0" w:space="0" w:color="auto"/>
                                    <w:bottom w:val="none" w:sz="0" w:space="0" w:color="auto"/>
                                    <w:right w:val="none" w:sz="0" w:space="0" w:color="auto"/>
                                  </w:divBdr>
                                </w:div>
                                <w:div w:id="1053307466">
                                  <w:marLeft w:val="0"/>
                                  <w:marRight w:val="0"/>
                                  <w:marTop w:val="0"/>
                                  <w:marBottom w:val="0"/>
                                  <w:divBdr>
                                    <w:top w:val="none" w:sz="0" w:space="0" w:color="auto"/>
                                    <w:left w:val="none" w:sz="0" w:space="0" w:color="auto"/>
                                    <w:bottom w:val="none" w:sz="0" w:space="0" w:color="auto"/>
                                    <w:right w:val="none" w:sz="0" w:space="0" w:color="auto"/>
                                  </w:divBdr>
                                </w:div>
                                <w:div w:id="1246497429">
                                  <w:marLeft w:val="0"/>
                                  <w:marRight w:val="0"/>
                                  <w:marTop w:val="0"/>
                                  <w:marBottom w:val="0"/>
                                  <w:divBdr>
                                    <w:top w:val="none" w:sz="0" w:space="0" w:color="auto"/>
                                    <w:left w:val="none" w:sz="0" w:space="0" w:color="auto"/>
                                    <w:bottom w:val="none" w:sz="0" w:space="0" w:color="auto"/>
                                    <w:right w:val="none" w:sz="0" w:space="0" w:color="auto"/>
                                  </w:divBdr>
                                </w:div>
                                <w:div w:id="1853714337">
                                  <w:marLeft w:val="0"/>
                                  <w:marRight w:val="0"/>
                                  <w:marTop w:val="0"/>
                                  <w:marBottom w:val="0"/>
                                  <w:divBdr>
                                    <w:top w:val="none" w:sz="0" w:space="0" w:color="auto"/>
                                    <w:left w:val="none" w:sz="0" w:space="0" w:color="auto"/>
                                    <w:bottom w:val="none" w:sz="0" w:space="0" w:color="auto"/>
                                    <w:right w:val="none" w:sz="0" w:space="0" w:color="auto"/>
                                  </w:divBdr>
                                </w:div>
                                <w:div w:id="7877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83666">
      <w:bodyDiv w:val="1"/>
      <w:marLeft w:val="0"/>
      <w:marRight w:val="0"/>
      <w:marTop w:val="0"/>
      <w:marBottom w:val="0"/>
      <w:divBdr>
        <w:top w:val="none" w:sz="0" w:space="0" w:color="auto"/>
        <w:left w:val="none" w:sz="0" w:space="0" w:color="auto"/>
        <w:bottom w:val="none" w:sz="0" w:space="0" w:color="auto"/>
        <w:right w:val="none" w:sz="0" w:space="0" w:color="auto"/>
      </w:divBdr>
      <w:divsChild>
        <w:div w:id="1365255610">
          <w:marLeft w:val="0"/>
          <w:marRight w:val="0"/>
          <w:marTop w:val="0"/>
          <w:marBottom w:val="0"/>
          <w:divBdr>
            <w:top w:val="none" w:sz="0" w:space="0" w:color="auto"/>
            <w:left w:val="none" w:sz="0" w:space="0" w:color="auto"/>
            <w:bottom w:val="none" w:sz="0" w:space="0" w:color="auto"/>
            <w:right w:val="none" w:sz="0" w:space="0" w:color="auto"/>
          </w:divBdr>
          <w:divsChild>
            <w:div w:id="196164451">
              <w:marLeft w:val="150"/>
              <w:marRight w:val="150"/>
              <w:marTop w:val="0"/>
              <w:marBottom w:val="150"/>
              <w:divBdr>
                <w:top w:val="none" w:sz="0" w:space="0" w:color="auto"/>
                <w:left w:val="none" w:sz="0" w:space="0" w:color="auto"/>
                <w:bottom w:val="none" w:sz="0" w:space="0" w:color="auto"/>
                <w:right w:val="none" w:sz="0" w:space="0" w:color="auto"/>
              </w:divBdr>
              <w:divsChild>
                <w:div w:id="428935749">
                  <w:marLeft w:val="0"/>
                  <w:marRight w:val="0"/>
                  <w:marTop w:val="0"/>
                  <w:marBottom w:val="0"/>
                  <w:divBdr>
                    <w:top w:val="none" w:sz="0" w:space="0" w:color="auto"/>
                    <w:left w:val="none" w:sz="0" w:space="0" w:color="auto"/>
                    <w:bottom w:val="none" w:sz="0" w:space="0" w:color="auto"/>
                    <w:right w:val="none" w:sz="0" w:space="0" w:color="auto"/>
                  </w:divBdr>
                  <w:divsChild>
                    <w:div w:id="1828206179">
                      <w:marLeft w:val="0"/>
                      <w:marRight w:val="0"/>
                      <w:marTop w:val="0"/>
                      <w:marBottom w:val="0"/>
                      <w:divBdr>
                        <w:top w:val="none" w:sz="0" w:space="0" w:color="auto"/>
                        <w:left w:val="none" w:sz="0" w:space="0" w:color="auto"/>
                        <w:bottom w:val="none" w:sz="0" w:space="0" w:color="auto"/>
                        <w:right w:val="none" w:sz="0" w:space="0" w:color="auto"/>
                      </w:divBdr>
                      <w:divsChild>
                        <w:div w:id="54861248">
                          <w:marLeft w:val="0"/>
                          <w:marRight w:val="0"/>
                          <w:marTop w:val="0"/>
                          <w:marBottom w:val="0"/>
                          <w:divBdr>
                            <w:top w:val="none" w:sz="0" w:space="0" w:color="auto"/>
                            <w:left w:val="none" w:sz="0" w:space="0" w:color="auto"/>
                            <w:bottom w:val="none" w:sz="0" w:space="0" w:color="auto"/>
                            <w:right w:val="none" w:sz="0" w:space="0" w:color="auto"/>
                          </w:divBdr>
                          <w:divsChild>
                            <w:div w:id="2060394912">
                              <w:marLeft w:val="0"/>
                              <w:marRight w:val="0"/>
                              <w:marTop w:val="0"/>
                              <w:marBottom w:val="0"/>
                              <w:divBdr>
                                <w:top w:val="none" w:sz="0" w:space="0" w:color="auto"/>
                                <w:left w:val="none" w:sz="0" w:space="0" w:color="auto"/>
                                <w:bottom w:val="none" w:sz="0" w:space="0" w:color="auto"/>
                                <w:right w:val="none" w:sz="0" w:space="0" w:color="auto"/>
                              </w:divBdr>
                              <w:divsChild>
                                <w:div w:id="1186989467">
                                  <w:marLeft w:val="0"/>
                                  <w:marRight w:val="0"/>
                                  <w:marTop w:val="0"/>
                                  <w:marBottom w:val="0"/>
                                  <w:divBdr>
                                    <w:top w:val="none" w:sz="0" w:space="0" w:color="auto"/>
                                    <w:left w:val="none" w:sz="0" w:space="0" w:color="auto"/>
                                    <w:bottom w:val="none" w:sz="0" w:space="0" w:color="auto"/>
                                    <w:right w:val="none" w:sz="0" w:space="0" w:color="auto"/>
                                  </w:divBdr>
                                </w:div>
                                <w:div w:id="469439810">
                                  <w:marLeft w:val="0"/>
                                  <w:marRight w:val="0"/>
                                  <w:marTop w:val="0"/>
                                  <w:marBottom w:val="0"/>
                                  <w:divBdr>
                                    <w:top w:val="none" w:sz="0" w:space="0" w:color="auto"/>
                                    <w:left w:val="none" w:sz="0" w:space="0" w:color="auto"/>
                                    <w:bottom w:val="none" w:sz="0" w:space="0" w:color="auto"/>
                                    <w:right w:val="none" w:sz="0" w:space="0" w:color="auto"/>
                                  </w:divBdr>
                                </w:div>
                                <w:div w:id="19752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86127">
      <w:bodyDiv w:val="1"/>
      <w:marLeft w:val="0"/>
      <w:marRight w:val="0"/>
      <w:marTop w:val="0"/>
      <w:marBottom w:val="0"/>
      <w:divBdr>
        <w:top w:val="none" w:sz="0" w:space="0" w:color="auto"/>
        <w:left w:val="none" w:sz="0" w:space="0" w:color="auto"/>
        <w:bottom w:val="none" w:sz="0" w:space="0" w:color="auto"/>
        <w:right w:val="none" w:sz="0" w:space="0" w:color="auto"/>
      </w:divBdr>
      <w:divsChild>
        <w:div w:id="1439373493">
          <w:marLeft w:val="0"/>
          <w:marRight w:val="0"/>
          <w:marTop w:val="0"/>
          <w:marBottom w:val="0"/>
          <w:divBdr>
            <w:top w:val="none" w:sz="0" w:space="0" w:color="auto"/>
            <w:left w:val="none" w:sz="0" w:space="0" w:color="auto"/>
            <w:bottom w:val="none" w:sz="0" w:space="0" w:color="auto"/>
            <w:right w:val="none" w:sz="0" w:space="0" w:color="auto"/>
          </w:divBdr>
          <w:divsChild>
            <w:div w:id="633371812">
              <w:marLeft w:val="150"/>
              <w:marRight w:val="150"/>
              <w:marTop w:val="0"/>
              <w:marBottom w:val="150"/>
              <w:divBdr>
                <w:top w:val="none" w:sz="0" w:space="0" w:color="auto"/>
                <w:left w:val="none" w:sz="0" w:space="0" w:color="auto"/>
                <w:bottom w:val="none" w:sz="0" w:space="0" w:color="auto"/>
                <w:right w:val="none" w:sz="0" w:space="0" w:color="auto"/>
              </w:divBdr>
              <w:divsChild>
                <w:div w:id="1558513208">
                  <w:marLeft w:val="0"/>
                  <w:marRight w:val="0"/>
                  <w:marTop w:val="0"/>
                  <w:marBottom w:val="0"/>
                  <w:divBdr>
                    <w:top w:val="none" w:sz="0" w:space="0" w:color="auto"/>
                    <w:left w:val="none" w:sz="0" w:space="0" w:color="auto"/>
                    <w:bottom w:val="none" w:sz="0" w:space="0" w:color="auto"/>
                    <w:right w:val="none" w:sz="0" w:space="0" w:color="auto"/>
                  </w:divBdr>
                  <w:divsChild>
                    <w:div w:id="1846162281">
                      <w:marLeft w:val="0"/>
                      <w:marRight w:val="0"/>
                      <w:marTop w:val="0"/>
                      <w:marBottom w:val="0"/>
                      <w:divBdr>
                        <w:top w:val="none" w:sz="0" w:space="0" w:color="auto"/>
                        <w:left w:val="none" w:sz="0" w:space="0" w:color="auto"/>
                        <w:bottom w:val="none" w:sz="0" w:space="0" w:color="auto"/>
                        <w:right w:val="none" w:sz="0" w:space="0" w:color="auto"/>
                      </w:divBdr>
                      <w:divsChild>
                        <w:div w:id="2019038172">
                          <w:marLeft w:val="0"/>
                          <w:marRight w:val="0"/>
                          <w:marTop w:val="0"/>
                          <w:marBottom w:val="0"/>
                          <w:divBdr>
                            <w:top w:val="none" w:sz="0" w:space="0" w:color="auto"/>
                            <w:left w:val="none" w:sz="0" w:space="0" w:color="auto"/>
                            <w:bottom w:val="none" w:sz="0" w:space="0" w:color="auto"/>
                            <w:right w:val="none" w:sz="0" w:space="0" w:color="auto"/>
                          </w:divBdr>
                          <w:divsChild>
                            <w:div w:id="285282308">
                              <w:marLeft w:val="0"/>
                              <w:marRight w:val="0"/>
                              <w:marTop w:val="0"/>
                              <w:marBottom w:val="0"/>
                              <w:divBdr>
                                <w:top w:val="none" w:sz="0" w:space="0" w:color="auto"/>
                                <w:left w:val="none" w:sz="0" w:space="0" w:color="auto"/>
                                <w:bottom w:val="none" w:sz="0" w:space="0" w:color="auto"/>
                                <w:right w:val="none" w:sz="0" w:space="0" w:color="auto"/>
                              </w:divBdr>
                              <w:divsChild>
                                <w:div w:id="842554858">
                                  <w:marLeft w:val="0"/>
                                  <w:marRight w:val="0"/>
                                  <w:marTop w:val="0"/>
                                  <w:marBottom w:val="0"/>
                                  <w:divBdr>
                                    <w:top w:val="none" w:sz="0" w:space="0" w:color="auto"/>
                                    <w:left w:val="none" w:sz="0" w:space="0" w:color="auto"/>
                                    <w:bottom w:val="none" w:sz="0" w:space="0" w:color="auto"/>
                                    <w:right w:val="none" w:sz="0" w:space="0" w:color="auto"/>
                                  </w:divBdr>
                                </w:div>
                                <w:div w:id="2138450878">
                                  <w:marLeft w:val="0"/>
                                  <w:marRight w:val="0"/>
                                  <w:marTop w:val="0"/>
                                  <w:marBottom w:val="0"/>
                                  <w:divBdr>
                                    <w:top w:val="none" w:sz="0" w:space="0" w:color="auto"/>
                                    <w:left w:val="none" w:sz="0" w:space="0" w:color="auto"/>
                                    <w:bottom w:val="none" w:sz="0" w:space="0" w:color="auto"/>
                                    <w:right w:val="none" w:sz="0" w:space="0" w:color="auto"/>
                                  </w:divBdr>
                                </w:div>
                                <w:div w:id="5903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761452">
      <w:bodyDiv w:val="1"/>
      <w:marLeft w:val="0"/>
      <w:marRight w:val="0"/>
      <w:marTop w:val="0"/>
      <w:marBottom w:val="0"/>
      <w:divBdr>
        <w:top w:val="none" w:sz="0" w:space="0" w:color="auto"/>
        <w:left w:val="none" w:sz="0" w:space="0" w:color="auto"/>
        <w:bottom w:val="none" w:sz="0" w:space="0" w:color="auto"/>
        <w:right w:val="none" w:sz="0" w:space="0" w:color="auto"/>
      </w:divBdr>
      <w:divsChild>
        <w:div w:id="1264999940">
          <w:marLeft w:val="0"/>
          <w:marRight w:val="0"/>
          <w:marTop w:val="0"/>
          <w:marBottom w:val="0"/>
          <w:divBdr>
            <w:top w:val="none" w:sz="0" w:space="0" w:color="auto"/>
            <w:left w:val="none" w:sz="0" w:space="0" w:color="auto"/>
            <w:bottom w:val="none" w:sz="0" w:space="0" w:color="auto"/>
            <w:right w:val="none" w:sz="0" w:space="0" w:color="auto"/>
          </w:divBdr>
          <w:divsChild>
            <w:div w:id="1652709007">
              <w:marLeft w:val="150"/>
              <w:marRight w:val="150"/>
              <w:marTop w:val="0"/>
              <w:marBottom w:val="150"/>
              <w:divBdr>
                <w:top w:val="none" w:sz="0" w:space="0" w:color="auto"/>
                <w:left w:val="none" w:sz="0" w:space="0" w:color="auto"/>
                <w:bottom w:val="none" w:sz="0" w:space="0" w:color="auto"/>
                <w:right w:val="none" w:sz="0" w:space="0" w:color="auto"/>
              </w:divBdr>
              <w:divsChild>
                <w:div w:id="525483228">
                  <w:marLeft w:val="0"/>
                  <w:marRight w:val="0"/>
                  <w:marTop w:val="0"/>
                  <w:marBottom w:val="0"/>
                  <w:divBdr>
                    <w:top w:val="none" w:sz="0" w:space="0" w:color="auto"/>
                    <w:left w:val="none" w:sz="0" w:space="0" w:color="auto"/>
                    <w:bottom w:val="none" w:sz="0" w:space="0" w:color="auto"/>
                    <w:right w:val="none" w:sz="0" w:space="0" w:color="auto"/>
                  </w:divBdr>
                  <w:divsChild>
                    <w:div w:id="992172980">
                      <w:marLeft w:val="0"/>
                      <w:marRight w:val="0"/>
                      <w:marTop w:val="0"/>
                      <w:marBottom w:val="0"/>
                      <w:divBdr>
                        <w:top w:val="none" w:sz="0" w:space="0" w:color="auto"/>
                        <w:left w:val="none" w:sz="0" w:space="0" w:color="auto"/>
                        <w:bottom w:val="none" w:sz="0" w:space="0" w:color="auto"/>
                        <w:right w:val="none" w:sz="0" w:space="0" w:color="auto"/>
                      </w:divBdr>
                      <w:divsChild>
                        <w:div w:id="260073204">
                          <w:marLeft w:val="0"/>
                          <w:marRight w:val="0"/>
                          <w:marTop w:val="0"/>
                          <w:marBottom w:val="0"/>
                          <w:divBdr>
                            <w:top w:val="none" w:sz="0" w:space="0" w:color="auto"/>
                            <w:left w:val="none" w:sz="0" w:space="0" w:color="auto"/>
                            <w:bottom w:val="none" w:sz="0" w:space="0" w:color="auto"/>
                            <w:right w:val="none" w:sz="0" w:space="0" w:color="auto"/>
                          </w:divBdr>
                          <w:divsChild>
                            <w:div w:id="106315163">
                              <w:marLeft w:val="0"/>
                              <w:marRight w:val="0"/>
                              <w:marTop w:val="0"/>
                              <w:marBottom w:val="0"/>
                              <w:divBdr>
                                <w:top w:val="none" w:sz="0" w:space="0" w:color="auto"/>
                                <w:left w:val="none" w:sz="0" w:space="0" w:color="auto"/>
                                <w:bottom w:val="none" w:sz="0" w:space="0" w:color="auto"/>
                                <w:right w:val="none" w:sz="0" w:space="0" w:color="auto"/>
                              </w:divBdr>
                              <w:divsChild>
                                <w:div w:id="1576280893">
                                  <w:marLeft w:val="0"/>
                                  <w:marRight w:val="0"/>
                                  <w:marTop w:val="0"/>
                                  <w:marBottom w:val="0"/>
                                  <w:divBdr>
                                    <w:top w:val="none" w:sz="0" w:space="0" w:color="auto"/>
                                    <w:left w:val="none" w:sz="0" w:space="0" w:color="auto"/>
                                    <w:bottom w:val="none" w:sz="0" w:space="0" w:color="auto"/>
                                    <w:right w:val="none" w:sz="0" w:space="0" w:color="auto"/>
                                  </w:divBdr>
                                </w:div>
                                <w:div w:id="191851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850731">
      <w:bodyDiv w:val="1"/>
      <w:marLeft w:val="0"/>
      <w:marRight w:val="0"/>
      <w:marTop w:val="0"/>
      <w:marBottom w:val="0"/>
      <w:divBdr>
        <w:top w:val="none" w:sz="0" w:space="0" w:color="auto"/>
        <w:left w:val="none" w:sz="0" w:space="0" w:color="auto"/>
        <w:bottom w:val="none" w:sz="0" w:space="0" w:color="auto"/>
        <w:right w:val="none" w:sz="0" w:space="0" w:color="auto"/>
      </w:divBdr>
      <w:divsChild>
        <w:div w:id="1020744426">
          <w:marLeft w:val="0"/>
          <w:marRight w:val="0"/>
          <w:marTop w:val="0"/>
          <w:marBottom w:val="0"/>
          <w:divBdr>
            <w:top w:val="none" w:sz="0" w:space="0" w:color="auto"/>
            <w:left w:val="none" w:sz="0" w:space="0" w:color="auto"/>
            <w:bottom w:val="none" w:sz="0" w:space="0" w:color="auto"/>
            <w:right w:val="none" w:sz="0" w:space="0" w:color="auto"/>
          </w:divBdr>
          <w:divsChild>
            <w:div w:id="887645853">
              <w:marLeft w:val="150"/>
              <w:marRight w:val="150"/>
              <w:marTop w:val="0"/>
              <w:marBottom w:val="150"/>
              <w:divBdr>
                <w:top w:val="none" w:sz="0" w:space="0" w:color="auto"/>
                <w:left w:val="none" w:sz="0" w:space="0" w:color="auto"/>
                <w:bottom w:val="none" w:sz="0" w:space="0" w:color="auto"/>
                <w:right w:val="none" w:sz="0" w:space="0" w:color="auto"/>
              </w:divBdr>
              <w:divsChild>
                <w:div w:id="2046324175">
                  <w:marLeft w:val="0"/>
                  <w:marRight w:val="0"/>
                  <w:marTop w:val="0"/>
                  <w:marBottom w:val="0"/>
                  <w:divBdr>
                    <w:top w:val="none" w:sz="0" w:space="0" w:color="auto"/>
                    <w:left w:val="none" w:sz="0" w:space="0" w:color="auto"/>
                    <w:bottom w:val="none" w:sz="0" w:space="0" w:color="auto"/>
                    <w:right w:val="none" w:sz="0" w:space="0" w:color="auto"/>
                  </w:divBdr>
                  <w:divsChild>
                    <w:div w:id="167142020">
                      <w:marLeft w:val="0"/>
                      <w:marRight w:val="0"/>
                      <w:marTop w:val="0"/>
                      <w:marBottom w:val="0"/>
                      <w:divBdr>
                        <w:top w:val="none" w:sz="0" w:space="0" w:color="auto"/>
                        <w:left w:val="none" w:sz="0" w:space="0" w:color="auto"/>
                        <w:bottom w:val="none" w:sz="0" w:space="0" w:color="auto"/>
                        <w:right w:val="none" w:sz="0" w:space="0" w:color="auto"/>
                      </w:divBdr>
                      <w:divsChild>
                        <w:div w:id="1111971326">
                          <w:marLeft w:val="0"/>
                          <w:marRight w:val="0"/>
                          <w:marTop w:val="0"/>
                          <w:marBottom w:val="0"/>
                          <w:divBdr>
                            <w:top w:val="none" w:sz="0" w:space="0" w:color="auto"/>
                            <w:left w:val="none" w:sz="0" w:space="0" w:color="auto"/>
                            <w:bottom w:val="none" w:sz="0" w:space="0" w:color="auto"/>
                            <w:right w:val="none" w:sz="0" w:space="0" w:color="auto"/>
                          </w:divBdr>
                          <w:divsChild>
                            <w:div w:id="1357195255">
                              <w:marLeft w:val="0"/>
                              <w:marRight w:val="0"/>
                              <w:marTop w:val="0"/>
                              <w:marBottom w:val="0"/>
                              <w:divBdr>
                                <w:top w:val="none" w:sz="0" w:space="0" w:color="auto"/>
                                <w:left w:val="none" w:sz="0" w:space="0" w:color="auto"/>
                                <w:bottom w:val="none" w:sz="0" w:space="0" w:color="auto"/>
                                <w:right w:val="none" w:sz="0" w:space="0" w:color="auto"/>
                              </w:divBdr>
                              <w:divsChild>
                                <w:div w:id="787822001">
                                  <w:marLeft w:val="0"/>
                                  <w:marRight w:val="0"/>
                                  <w:marTop w:val="0"/>
                                  <w:marBottom w:val="0"/>
                                  <w:divBdr>
                                    <w:top w:val="none" w:sz="0" w:space="0" w:color="auto"/>
                                    <w:left w:val="none" w:sz="0" w:space="0" w:color="auto"/>
                                    <w:bottom w:val="none" w:sz="0" w:space="0" w:color="auto"/>
                                    <w:right w:val="none" w:sz="0" w:space="0" w:color="auto"/>
                                  </w:divBdr>
                                </w:div>
                                <w:div w:id="1829319145">
                                  <w:marLeft w:val="0"/>
                                  <w:marRight w:val="0"/>
                                  <w:marTop w:val="0"/>
                                  <w:marBottom w:val="0"/>
                                  <w:divBdr>
                                    <w:top w:val="none" w:sz="0" w:space="0" w:color="auto"/>
                                    <w:left w:val="none" w:sz="0" w:space="0" w:color="auto"/>
                                    <w:bottom w:val="none" w:sz="0" w:space="0" w:color="auto"/>
                                    <w:right w:val="none" w:sz="0" w:space="0" w:color="auto"/>
                                  </w:divBdr>
                                </w:div>
                                <w:div w:id="412509354">
                                  <w:marLeft w:val="0"/>
                                  <w:marRight w:val="0"/>
                                  <w:marTop w:val="0"/>
                                  <w:marBottom w:val="0"/>
                                  <w:divBdr>
                                    <w:top w:val="none" w:sz="0" w:space="0" w:color="auto"/>
                                    <w:left w:val="none" w:sz="0" w:space="0" w:color="auto"/>
                                    <w:bottom w:val="none" w:sz="0" w:space="0" w:color="auto"/>
                                    <w:right w:val="none" w:sz="0" w:space="0" w:color="auto"/>
                                  </w:divBdr>
                                </w:div>
                                <w:div w:id="1842547488">
                                  <w:marLeft w:val="0"/>
                                  <w:marRight w:val="0"/>
                                  <w:marTop w:val="0"/>
                                  <w:marBottom w:val="0"/>
                                  <w:divBdr>
                                    <w:top w:val="none" w:sz="0" w:space="0" w:color="auto"/>
                                    <w:left w:val="none" w:sz="0" w:space="0" w:color="auto"/>
                                    <w:bottom w:val="none" w:sz="0" w:space="0" w:color="auto"/>
                                    <w:right w:val="none" w:sz="0" w:space="0" w:color="auto"/>
                                  </w:divBdr>
                                </w:div>
                                <w:div w:id="1558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611146">
      <w:bodyDiv w:val="1"/>
      <w:marLeft w:val="0"/>
      <w:marRight w:val="0"/>
      <w:marTop w:val="0"/>
      <w:marBottom w:val="0"/>
      <w:divBdr>
        <w:top w:val="none" w:sz="0" w:space="0" w:color="auto"/>
        <w:left w:val="none" w:sz="0" w:space="0" w:color="auto"/>
        <w:bottom w:val="none" w:sz="0" w:space="0" w:color="auto"/>
        <w:right w:val="none" w:sz="0" w:space="0" w:color="auto"/>
      </w:divBdr>
      <w:divsChild>
        <w:div w:id="1564757147">
          <w:marLeft w:val="0"/>
          <w:marRight w:val="0"/>
          <w:marTop w:val="0"/>
          <w:marBottom w:val="0"/>
          <w:divBdr>
            <w:top w:val="none" w:sz="0" w:space="0" w:color="auto"/>
            <w:left w:val="none" w:sz="0" w:space="0" w:color="auto"/>
            <w:bottom w:val="none" w:sz="0" w:space="0" w:color="auto"/>
            <w:right w:val="none" w:sz="0" w:space="0" w:color="auto"/>
          </w:divBdr>
          <w:divsChild>
            <w:div w:id="197399873">
              <w:marLeft w:val="150"/>
              <w:marRight w:val="150"/>
              <w:marTop w:val="0"/>
              <w:marBottom w:val="150"/>
              <w:divBdr>
                <w:top w:val="none" w:sz="0" w:space="0" w:color="auto"/>
                <w:left w:val="none" w:sz="0" w:space="0" w:color="auto"/>
                <w:bottom w:val="none" w:sz="0" w:space="0" w:color="auto"/>
                <w:right w:val="none" w:sz="0" w:space="0" w:color="auto"/>
              </w:divBdr>
              <w:divsChild>
                <w:div w:id="1324318659">
                  <w:marLeft w:val="0"/>
                  <w:marRight w:val="0"/>
                  <w:marTop w:val="0"/>
                  <w:marBottom w:val="0"/>
                  <w:divBdr>
                    <w:top w:val="none" w:sz="0" w:space="0" w:color="auto"/>
                    <w:left w:val="none" w:sz="0" w:space="0" w:color="auto"/>
                    <w:bottom w:val="none" w:sz="0" w:space="0" w:color="auto"/>
                    <w:right w:val="none" w:sz="0" w:space="0" w:color="auto"/>
                  </w:divBdr>
                  <w:divsChild>
                    <w:div w:id="510796798">
                      <w:marLeft w:val="0"/>
                      <w:marRight w:val="0"/>
                      <w:marTop w:val="0"/>
                      <w:marBottom w:val="0"/>
                      <w:divBdr>
                        <w:top w:val="none" w:sz="0" w:space="0" w:color="auto"/>
                        <w:left w:val="none" w:sz="0" w:space="0" w:color="auto"/>
                        <w:bottom w:val="none" w:sz="0" w:space="0" w:color="auto"/>
                        <w:right w:val="none" w:sz="0" w:space="0" w:color="auto"/>
                      </w:divBdr>
                      <w:divsChild>
                        <w:div w:id="1589802797">
                          <w:marLeft w:val="0"/>
                          <w:marRight w:val="0"/>
                          <w:marTop w:val="0"/>
                          <w:marBottom w:val="0"/>
                          <w:divBdr>
                            <w:top w:val="none" w:sz="0" w:space="0" w:color="auto"/>
                            <w:left w:val="none" w:sz="0" w:space="0" w:color="auto"/>
                            <w:bottom w:val="none" w:sz="0" w:space="0" w:color="auto"/>
                            <w:right w:val="none" w:sz="0" w:space="0" w:color="auto"/>
                          </w:divBdr>
                          <w:divsChild>
                            <w:div w:id="2021807769">
                              <w:marLeft w:val="0"/>
                              <w:marRight w:val="0"/>
                              <w:marTop w:val="0"/>
                              <w:marBottom w:val="0"/>
                              <w:divBdr>
                                <w:top w:val="none" w:sz="0" w:space="0" w:color="auto"/>
                                <w:left w:val="none" w:sz="0" w:space="0" w:color="auto"/>
                                <w:bottom w:val="none" w:sz="0" w:space="0" w:color="auto"/>
                                <w:right w:val="none" w:sz="0" w:space="0" w:color="auto"/>
                              </w:divBdr>
                              <w:divsChild>
                                <w:div w:id="1652900307">
                                  <w:marLeft w:val="0"/>
                                  <w:marRight w:val="0"/>
                                  <w:marTop w:val="0"/>
                                  <w:marBottom w:val="0"/>
                                  <w:divBdr>
                                    <w:top w:val="none" w:sz="0" w:space="0" w:color="auto"/>
                                    <w:left w:val="none" w:sz="0" w:space="0" w:color="auto"/>
                                    <w:bottom w:val="none" w:sz="0" w:space="0" w:color="auto"/>
                                    <w:right w:val="none" w:sz="0" w:space="0" w:color="auto"/>
                                  </w:divBdr>
                                </w:div>
                                <w:div w:id="17747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446982">
      <w:bodyDiv w:val="1"/>
      <w:marLeft w:val="0"/>
      <w:marRight w:val="0"/>
      <w:marTop w:val="0"/>
      <w:marBottom w:val="0"/>
      <w:divBdr>
        <w:top w:val="none" w:sz="0" w:space="0" w:color="auto"/>
        <w:left w:val="none" w:sz="0" w:space="0" w:color="auto"/>
        <w:bottom w:val="none" w:sz="0" w:space="0" w:color="auto"/>
        <w:right w:val="none" w:sz="0" w:space="0" w:color="auto"/>
      </w:divBdr>
      <w:divsChild>
        <w:div w:id="550306672">
          <w:marLeft w:val="0"/>
          <w:marRight w:val="0"/>
          <w:marTop w:val="0"/>
          <w:marBottom w:val="0"/>
          <w:divBdr>
            <w:top w:val="none" w:sz="0" w:space="0" w:color="auto"/>
            <w:left w:val="none" w:sz="0" w:space="0" w:color="auto"/>
            <w:bottom w:val="none" w:sz="0" w:space="0" w:color="auto"/>
            <w:right w:val="none" w:sz="0" w:space="0" w:color="auto"/>
          </w:divBdr>
          <w:divsChild>
            <w:div w:id="1553274675">
              <w:marLeft w:val="150"/>
              <w:marRight w:val="150"/>
              <w:marTop w:val="0"/>
              <w:marBottom w:val="150"/>
              <w:divBdr>
                <w:top w:val="none" w:sz="0" w:space="0" w:color="auto"/>
                <w:left w:val="none" w:sz="0" w:space="0" w:color="auto"/>
                <w:bottom w:val="none" w:sz="0" w:space="0" w:color="auto"/>
                <w:right w:val="none" w:sz="0" w:space="0" w:color="auto"/>
              </w:divBdr>
              <w:divsChild>
                <w:div w:id="223374156">
                  <w:marLeft w:val="0"/>
                  <w:marRight w:val="0"/>
                  <w:marTop w:val="0"/>
                  <w:marBottom w:val="0"/>
                  <w:divBdr>
                    <w:top w:val="none" w:sz="0" w:space="0" w:color="auto"/>
                    <w:left w:val="none" w:sz="0" w:space="0" w:color="auto"/>
                    <w:bottom w:val="none" w:sz="0" w:space="0" w:color="auto"/>
                    <w:right w:val="none" w:sz="0" w:space="0" w:color="auto"/>
                  </w:divBdr>
                  <w:divsChild>
                    <w:div w:id="1414161846">
                      <w:marLeft w:val="0"/>
                      <w:marRight w:val="0"/>
                      <w:marTop w:val="0"/>
                      <w:marBottom w:val="0"/>
                      <w:divBdr>
                        <w:top w:val="none" w:sz="0" w:space="0" w:color="auto"/>
                        <w:left w:val="none" w:sz="0" w:space="0" w:color="auto"/>
                        <w:bottom w:val="none" w:sz="0" w:space="0" w:color="auto"/>
                        <w:right w:val="none" w:sz="0" w:space="0" w:color="auto"/>
                      </w:divBdr>
                      <w:divsChild>
                        <w:div w:id="769817788">
                          <w:marLeft w:val="0"/>
                          <w:marRight w:val="0"/>
                          <w:marTop w:val="0"/>
                          <w:marBottom w:val="0"/>
                          <w:divBdr>
                            <w:top w:val="none" w:sz="0" w:space="0" w:color="auto"/>
                            <w:left w:val="none" w:sz="0" w:space="0" w:color="auto"/>
                            <w:bottom w:val="none" w:sz="0" w:space="0" w:color="auto"/>
                            <w:right w:val="none" w:sz="0" w:space="0" w:color="auto"/>
                          </w:divBdr>
                          <w:divsChild>
                            <w:div w:id="1319769501">
                              <w:marLeft w:val="0"/>
                              <w:marRight w:val="0"/>
                              <w:marTop w:val="0"/>
                              <w:marBottom w:val="0"/>
                              <w:divBdr>
                                <w:top w:val="none" w:sz="0" w:space="0" w:color="auto"/>
                                <w:left w:val="none" w:sz="0" w:space="0" w:color="auto"/>
                                <w:bottom w:val="none" w:sz="0" w:space="0" w:color="auto"/>
                                <w:right w:val="none" w:sz="0" w:space="0" w:color="auto"/>
                              </w:divBdr>
                              <w:divsChild>
                                <w:div w:id="46343637">
                                  <w:marLeft w:val="0"/>
                                  <w:marRight w:val="0"/>
                                  <w:marTop w:val="0"/>
                                  <w:marBottom w:val="0"/>
                                  <w:divBdr>
                                    <w:top w:val="none" w:sz="0" w:space="0" w:color="auto"/>
                                    <w:left w:val="none" w:sz="0" w:space="0" w:color="auto"/>
                                    <w:bottom w:val="none" w:sz="0" w:space="0" w:color="auto"/>
                                    <w:right w:val="none" w:sz="0" w:space="0" w:color="auto"/>
                                  </w:divBdr>
                                </w:div>
                                <w:div w:id="2061859561">
                                  <w:marLeft w:val="0"/>
                                  <w:marRight w:val="0"/>
                                  <w:marTop w:val="0"/>
                                  <w:marBottom w:val="0"/>
                                  <w:divBdr>
                                    <w:top w:val="none" w:sz="0" w:space="0" w:color="auto"/>
                                    <w:left w:val="none" w:sz="0" w:space="0" w:color="auto"/>
                                    <w:bottom w:val="none" w:sz="0" w:space="0" w:color="auto"/>
                                    <w:right w:val="none" w:sz="0" w:space="0" w:color="auto"/>
                                  </w:divBdr>
                                </w:div>
                                <w:div w:id="312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143575">
      <w:bodyDiv w:val="1"/>
      <w:marLeft w:val="0"/>
      <w:marRight w:val="0"/>
      <w:marTop w:val="0"/>
      <w:marBottom w:val="0"/>
      <w:divBdr>
        <w:top w:val="none" w:sz="0" w:space="0" w:color="auto"/>
        <w:left w:val="none" w:sz="0" w:space="0" w:color="auto"/>
        <w:bottom w:val="none" w:sz="0" w:space="0" w:color="auto"/>
        <w:right w:val="none" w:sz="0" w:space="0" w:color="auto"/>
      </w:divBdr>
      <w:divsChild>
        <w:div w:id="1932931582">
          <w:marLeft w:val="0"/>
          <w:marRight w:val="0"/>
          <w:marTop w:val="0"/>
          <w:marBottom w:val="0"/>
          <w:divBdr>
            <w:top w:val="none" w:sz="0" w:space="0" w:color="auto"/>
            <w:left w:val="none" w:sz="0" w:space="0" w:color="auto"/>
            <w:bottom w:val="none" w:sz="0" w:space="0" w:color="auto"/>
            <w:right w:val="none" w:sz="0" w:space="0" w:color="auto"/>
          </w:divBdr>
          <w:divsChild>
            <w:div w:id="1001391291">
              <w:marLeft w:val="150"/>
              <w:marRight w:val="150"/>
              <w:marTop w:val="0"/>
              <w:marBottom w:val="150"/>
              <w:divBdr>
                <w:top w:val="none" w:sz="0" w:space="0" w:color="auto"/>
                <w:left w:val="none" w:sz="0" w:space="0" w:color="auto"/>
                <w:bottom w:val="none" w:sz="0" w:space="0" w:color="auto"/>
                <w:right w:val="none" w:sz="0" w:space="0" w:color="auto"/>
              </w:divBdr>
              <w:divsChild>
                <w:div w:id="1876848049">
                  <w:marLeft w:val="0"/>
                  <w:marRight w:val="0"/>
                  <w:marTop w:val="0"/>
                  <w:marBottom w:val="0"/>
                  <w:divBdr>
                    <w:top w:val="none" w:sz="0" w:space="0" w:color="auto"/>
                    <w:left w:val="none" w:sz="0" w:space="0" w:color="auto"/>
                    <w:bottom w:val="none" w:sz="0" w:space="0" w:color="auto"/>
                    <w:right w:val="none" w:sz="0" w:space="0" w:color="auto"/>
                  </w:divBdr>
                  <w:divsChild>
                    <w:div w:id="2109621372">
                      <w:marLeft w:val="0"/>
                      <w:marRight w:val="0"/>
                      <w:marTop w:val="0"/>
                      <w:marBottom w:val="0"/>
                      <w:divBdr>
                        <w:top w:val="none" w:sz="0" w:space="0" w:color="auto"/>
                        <w:left w:val="none" w:sz="0" w:space="0" w:color="auto"/>
                        <w:bottom w:val="none" w:sz="0" w:space="0" w:color="auto"/>
                        <w:right w:val="none" w:sz="0" w:space="0" w:color="auto"/>
                      </w:divBdr>
                      <w:divsChild>
                        <w:div w:id="1126585620">
                          <w:marLeft w:val="0"/>
                          <w:marRight w:val="0"/>
                          <w:marTop w:val="0"/>
                          <w:marBottom w:val="0"/>
                          <w:divBdr>
                            <w:top w:val="none" w:sz="0" w:space="0" w:color="auto"/>
                            <w:left w:val="none" w:sz="0" w:space="0" w:color="auto"/>
                            <w:bottom w:val="none" w:sz="0" w:space="0" w:color="auto"/>
                            <w:right w:val="none" w:sz="0" w:space="0" w:color="auto"/>
                          </w:divBdr>
                          <w:divsChild>
                            <w:div w:id="1415320649">
                              <w:marLeft w:val="0"/>
                              <w:marRight w:val="0"/>
                              <w:marTop w:val="0"/>
                              <w:marBottom w:val="0"/>
                              <w:divBdr>
                                <w:top w:val="none" w:sz="0" w:space="0" w:color="auto"/>
                                <w:left w:val="none" w:sz="0" w:space="0" w:color="auto"/>
                                <w:bottom w:val="none" w:sz="0" w:space="0" w:color="auto"/>
                                <w:right w:val="none" w:sz="0" w:space="0" w:color="auto"/>
                              </w:divBdr>
                              <w:divsChild>
                                <w:div w:id="1331325097">
                                  <w:marLeft w:val="0"/>
                                  <w:marRight w:val="0"/>
                                  <w:marTop w:val="0"/>
                                  <w:marBottom w:val="0"/>
                                  <w:divBdr>
                                    <w:top w:val="none" w:sz="0" w:space="0" w:color="auto"/>
                                    <w:left w:val="none" w:sz="0" w:space="0" w:color="auto"/>
                                    <w:bottom w:val="none" w:sz="0" w:space="0" w:color="auto"/>
                                    <w:right w:val="none" w:sz="0" w:space="0" w:color="auto"/>
                                  </w:divBdr>
                                </w:div>
                                <w:div w:id="1062220149">
                                  <w:marLeft w:val="0"/>
                                  <w:marRight w:val="0"/>
                                  <w:marTop w:val="0"/>
                                  <w:marBottom w:val="0"/>
                                  <w:divBdr>
                                    <w:top w:val="none" w:sz="0" w:space="0" w:color="auto"/>
                                    <w:left w:val="none" w:sz="0" w:space="0" w:color="auto"/>
                                    <w:bottom w:val="none" w:sz="0" w:space="0" w:color="auto"/>
                                    <w:right w:val="none" w:sz="0" w:space="0" w:color="auto"/>
                                  </w:divBdr>
                                </w:div>
                                <w:div w:id="1990288153">
                                  <w:marLeft w:val="0"/>
                                  <w:marRight w:val="0"/>
                                  <w:marTop w:val="0"/>
                                  <w:marBottom w:val="0"/>
                                  <w:divBdr>
                                    <w:top w:val="none" w:sz="0" w:space="0" w:color="auto"/>
                                    <w:left w:val="none" w:sz="0" w:space="0" w:color="auto"/>
                                    <w:bottom w:val="none" w:sz="0" w:space="0" w:color="auto"/>
                                    <w:right w:val="none" w:sz="0" w:space="0" w:color="auto"/>
                                  </w:divBdr>
                                </w:div>
                                <w:div w:id="1445230945">
                                  <w:marLeft w:val="0"/>
                                  <w:marRight w:val="0"/>
                                  <w:marTop w:val="0"/>
                                  <w:marBottom w:val="0"/>
                                  <w:divBdr>
                                    <w:top w:val="none" w:sz="0" w:space="0" w:color="auto"/>
                                    <w:left w:val="none" w:sz="0" w:space="0" w:color="auto"/>
                                    <w:bottom w:val="none" w:sz="0" w:space="0" w:color="auto"/>
                                    <w:right w:val="none" w:sz="0" w:space="0" w:color="auto"/>
                                  </w:divBdr>
                                </w:div>
                                <w:div w:id="888340534">
                                  <w:marLeft w:val="0"/>
                                  <w:marRight w:val="0"/>
                                  <w:marTop w:val="0"/>
                                  <w:marBottom w:val="0"/>
                                  <w:divBdr>
                                    <w:top w:val="none" w:sz="0" w:space="0" w:color="auto"/>
                                    <w:left w:val="none" w:sz="0" w:space="0" w:color="auto"/>
                                    <w:bottom w:val="none" w:sz="0" w:space="0" w:color="auto"/>
                                    <w:right w:val="none" w:sz="0" w:space="0" w:color="auto"/>
                                  </w:divBdr>
                                </w:div>
                                <w:div w:id="245657330">
                                  <w:marLeft w:val="0"/>
                                  <w:marRight w:val="0"/>
                                  <w:marTop w:val="0"/>
                                  <w:marBottom w:val="0"/>
                                  <w:divBdr>
                                    <w:top w:val="none" w:sz="0" w:space="0" w:color="auto"/>
                                    <w:left w:val="none" w:sz="0" w:space="0" w:color="auto"/>
                                    <w:bottom w:val="none" w:sz="0" w:space="0" w:color="auto"/>
                                    <w:right w:val="none" w:sz="0" w:space="0" w:color="auto"/>
                                  </w:divBdr>
                                </w:div>
                                <w:div w:id="1386031159">
                                  <w:marLeft w:val="0"/>
                                  <w:marRight w:val="0"/>
                                  <w:marTop w:val="0"/>
                                  <w:marBottom w:val="0"/>
                                  <w:divBdr>
                                    <w:top w:val="none" w:sz="0" w:space="0" w:color="auto"/>
                                    <w:left w:val="none" w:sz="0" w:space="0" w:color="auto"/>
                                    <w:bottom w:val="none" w:sz="0" w:space="0" w:color="auto"/>
                                    <w:right w:val="none" w:sz="0" w:space="0" w:color="auto"/>
                                  </w:divBdr>
                                </w:div>
                                <w:div w:id="1218206705">
                                  <w:marLeft w:val="0"/>
                                  <w:marRight w:val="0"/>
                                  <w:marTop w:val="0"/>
                                  <w:marBottom w:val="0"/>
                                  <w:divBdr>
                                    <w:top w:val="none" w:sz="0" w:space="0" w:color="auto"/>
                                    <w:left w:val="none" w:sz="0" w:space="0" w:color="auto"/>
                                    <w:bottom w:val="none" w:sz="0" w:space="0" w:color="auto"/>
                                    <w:right w:val="none" w:sz="0" w:space="0" w:color="auto"/>
                                  </w:divBdr>
                                </w:div>
                                <w:div w:id="1607493208">
                                  <w:marLeft w:val="0"/>
                                  <w:marRight w:val="0"/>
                                  <w:marTop w:val="0"/>
                                  <w:marBottom w:val="0"/>
                                  <w:divBdr>
                                    <w:top w:val="none" w:sz="0" w:space="0" w:color="auto"/>
                                    <w:left w:val="none" w:sz="0" w:space="0" w:color="auto"/>
                                    <w:bottom w:val="none" w:sz="0" w:space="0" w:color="auto"/>
                                    <w:right w:val="none" w:sz="0" w:space="0" w:color="auto"/>
                                  </w:divBdr>
                                </w:div>
                                <w:div w:id="1478186701">
                                  <w:marLeft w:val="0"/>
                                  <w:marRight w:val="0"/>
                                  <w:marTop w:val="0"/>
                                  <w:marBottom w:val="0"/>
                                  <w:divBdr>
                                    <w:top w:val="none" w:sz="0" w:space="0" w:color="auto"/>
                                    <w:left w:val="none" w:sz="0" w:space="0" w:color="auto"/>
                                    <w:bottom w:val="none" w:sz="0" w:space="0" w:color="auto"/>
                                    <w:right w:val="none" w:sz="0" w:space="0" w:color="auto"/>
                                  </w:divBdr>
                                </w:div>
                                <w:div w:id="360862287">
                                  <w:marLeft w:val="0"/>
                                  <w:marRight w:val="0"/>
                                  <w:marTop w:val="0"/>
                                  <w:marBottom w:val="0"/>
                                  <w:divBdr>
                                    <w:top w:val="none" w:sz="0" w:space="0" w:color="auto"/>
                                    <w:left w:val="none" w:sz="0" w:space="0" w:color="auto"/>
                                    <w:bottom w:val="none" w:sz="0" w:space="0" w:color="auto"/>
                                    <w:right w:val="none" w:sz="0" w:space="0" w:color="auto"/>
                                  </w:divBdr>
                                </w:div>
                                <w:div w:id="845678279">
                                  <w:marLeft w:val="0"/>
                                  <w:marRight w:val="0"/>
                                  <w:marTop w:val="0"/>
                                  <w:marBottom w:val="0"/>
                                  <w:divBdr>
                                    <w:top w:val="none" w:sz="0" w:space="0" w:color="auto"/>
                                    <w:left w:val="none" w:sz="0" w:space="0" w:color="auto"/>
                                    <w:bottom w:val="none" w:sz="0" w:space="0" w:color="auto"/>
                                    <w:right w:val="none" w:sz="0" w:space="0" w:color="auto"/>
                                  </w:divBdr>
                                </w:div>
                                <w:div w:id="356807681">
                                  <w:marLeft w:val="0"/>
                                  <w:marRight w:val="0"/>
                                  <w:marTop w:val="0"/>
                                  <w:marBottom w:val="0"/>
                                  <w:divBdr>
                                    <w:top w:val="none" w:sz="0" w:space="0" w:color="auto"/>
                                    <w:left w:val="none" w:sz="0" w:space="0" w:color="auto"/>
                                    <w:bottom w:val="none" w:sz="0" w:space="0" w:color="auto"/>
                                    <w:right w:val="none" w:sz="0" w:space="0" w:color="auto"/>
                                  </w:divBdr>
                                </w:div>
                                <w:div w:id="1901164242">
                                  <w:marLeft w:val="0"/>
                                  <w:marRight w:val="0"/>
                                  <w:marTop w:val="0"/>
                                  <w:marBottom w:val="0"/>
                                  <w:divBdr>
                                    <w:top w:val="none" w:sz="0" w:space="0" w:color="auto"/>
                                    <w:left w:val="none" w:sz="0" w:space="0" w:color="auto"/>
                                    <w:bottom w:val="none" w:sz="0" w:space="0" w:color="auto"/>
                                    <w:right w:val="none" w:sz="0" w:space="0" w:color="auto"/>
                                  </w:divBdr>
                                </w:div>
                                <w:div w:id="192040434">
                                  <w:marLeft w:val="0"/>
                                  <w:marRight w:val="0"/>
                                  <w:marTop w:val="0"/>
                                  <w:marBottom w:val="0"/>
                                  <w:divBdr>
                                    <w:top w:val="none" w:sz="0" w:space="0" w:color="auto"/>
                                    <w:left w:val="none" w:sz="0" w:space="0" w:color="auto"/>
                                    <w:bottom w:val="none" w:sz="0" w:space="0" w:color="auto"/>
                                    <w:right w:val="none" w:sz="0" w:space="0" w:color="auto"/>
                                  </w:divBdr>
                                </w:div>
                                <w:div w:id="1421172270">
                                  <w:marLeft w:val="0"/>
                                  <w:marRight w:val="0"/>
                                  <w:marTop w:val="0"/>
                                  <w:marBottom w:val="0"/>
                                  <w:divBdr>
                                    <w:top w:val="none" w:sz="0" w:space="0" w:color="auto"/>
                                    <w:left w:val="none" w:sz="0" w:space="0" w:color="auto"/>
                                    <w:bottom w:val="none" w:sz="0" w:space="0" w:color="auto"/>
                                    <w:right w:val="none" w:sz="0" w:space="0" w:color="auto"/>
                                  </w:divBdr>
                                </w:div>
                                <w:div w:id="830677551">
                                  <w:marLeft w:val="0"/>
                                  <w:marRight w:val="0"/>
                                  <w:marTop w:val="0"/>
                                  <w:marBottom w:val="0"/>
                                  <w:divBdr>
                                    <w:top w:val="none" w:sz="0" w:space="0" w:color="auto"/>
                                    <w:left w:val="none" w:sz="0" w:space="0" w:color="auto"/>
                                    <w:bottom w:val="none" w:sz="0" w:space="0" w:color="auto"/>
                                    <w:right w:val="none" w:sz="0" w:space="0" w:color="auto"/>
                                  </w:divBdr>
                                </w:div>
                                <w:div w:id="59834634">
                                  <w:marLeft w:val="0"/>
                                  <w:marRight w:val="0"/>
                                  <w:marTop w:val="0"/>
                                  <w:marBottom w:val="0"/>
                                  <w:divBdr>
                                    <w:top w:val="none" w:sz="0" w:space="0" w:color="auto"/>
                                    <w:left w:val="none" w:sz="0" w:space="0" w:color="auto"/>
                                    <w:bottom w:val="none" w:sz="0" w:space="0" w:color="auto"/>
                                    <w:right w:val="none" w:sz="0" w:space="0" w:color="auto"/>
                                  </w:divBdr>
                                </w:div>
                                <w:div w:id="1507358212">
                                  <w:marLeft w:val="0"/>
                                  <w:marRight w:val="0"/>
                                  <w:marTop w:val="0"/>
                                  <w:marBottom w:val="0"/>
                                  <w:divBdr>
                                    <w:top w:val="none" w:sz="0" w:space="0" w:color="auto"/>
                                    <w:left w:val="none" w:sz="0" w:space="0" w:color="auto"/>
                                    <w:bottom w:val="none" w:sz="0" w:space="0" w:color="auto"/>
                                    <w:right w:val="none" w:sz="0" w:space="0" w:color="auto"/>
                                  </w:divBdr>
                                </w:div>
                                <w:div w:id="689531244">
                                  <w:marLeft w:val="0"/>
                                  <w:marRight w:val="0"/>
                                  <w:marTop w:val="0"/>
                                  <w:marBottom w:val="0"/>
                                  <w:divBdr>
                                    <w:top w:val="none" w:sz="0" w:space="0" w:color="auto"/>
                                    <w:left w:val="none" w:sz="0" w:space="0" w:color="auto"/>
                                    <w:bottom w:val="none" w:sz="0" w:space="0" w:color="auto"/>
                                    <w:right w:val="none" w:sz="0" w:space="0" w:color="auto"/>
                                  </w:divBdr>
                                </w:div>
                                <w:div w:id="1901548542">
                                  <w:marLeft w:val="0"/>
                                  <w:marRight w:val="0"/>
                                  <w:marTop w:val="0"/>
                                  <w:marBottom w:val="0"/>
                                  <w:divBdr>
                                    <w:top w:val="none" w:sz="0" w:space="0" w:color="auto"/>
                                    <w:left w:val="none" w:sz="0" w:space="0" w:color="auto"/>
                                    <w:bottom w:val="none" w:sz="0" w:space="0" w:color="auto"/>
                                    <w:right w:val="none" w:sz="0" w:space="0" w:color="auto"/>
                                  </w:divBdr>
                                </w:div>
                                <w:div w:id="1264996406">
                                  <w:marLeft w:val="0"/>
                                  <w:marRight w:val="0"/>
                                  <w:marTop w:val="0"/>
                                  <w:marBottom w:val="0"/>
                                  <w:divBdr>
                                    <w:top w:val="none" w:sz="0" w:space="0" w:color="auto"/>
                                    <w:left w:val="none" w:sz="0" w:space="0" w:color="auto"/>
                                    <w:bottom w:val="none" w:sz="0" w:space="0" w:color="auto"/>
                                    <w:right w:val="none" w:sz="0" w:space="0" w:color="auto"/>
                                  </w:divBdr>
                                </w:div>
                                <w:div w:id="1133407890">
                                  <w:marLeft w:val="0"/>
                                  <w:marRight w:val="0"/>
                                  <w:marTop w:val="0"/>
                                  <w:marBottom w:val="0"/>
                                  <w:divBdr>
                                    <w:top w:val="none" w:sz="0" w:space="0" w:color="auto"/>
                                    <w:left w:val="none" w:sz="0" w:space="0" w:color="auto"/>
                                    <w:bottom w:val="none" w:sz="0" w:space="0" w:color="auto"/>
                                    <w:right w:val="none" w:sz="0" w:space="0" w:color="auto"/>
                                  </w:divBdr>
                                </w:div>
                                <w:div w:id="43603728">
                                  <w:marLeft w:val="0"/>
                                  <w:marRight w:val="0"/>
                                  <w:marTop w:val="0"/>
                                  <w:marBottom w:val="0"/>
                                  <w:divBdr>
                                    <w:top w:val="none" w:sz="0" w:space="0" w:color="auto"/>
                                    <w:left w:val="none" w:sz="0" w:space="0" w:color="auto"/>
                                    <w:bottom w:val="none" w:sz="0" w:space="0" w:color="auto"/>
                                    <w:right w:val="none" w:sz="0" w:space="0" w:color="auto"/>
                                  </w:divBdr>
                                </w:div>
                                <w:div w:id="716978393">
                                  <w:marLeft w:val="0"/>
                                  <w:marRight w:val="0"/>
                                  <w:marTop w:val="0"/>
                                  <w:marBottom w:val="0"/>
                                  <w:divBdr>
                                    <w:top w:val="none" w:sz="0" w:space="0" w:color="auto"/>
                                    <w:left w:val="none" w:sz="0" w:space="0" w:color="auto"/>
                                    <w:bottom w:val="none" w:sz="0" w:space="0" w:color="auto"/>
                                    <w:right w:val="none" w:sz="0" w:space="0" w:color="auto"/>
                                  </w:divBdr>
                                </w:div>
                                <w:div w:id="1738740858">
                                  <w:marLeft w:val="0"/>
                                  <w:marRight w:val="0"/>
                                  <w:marTop w:val="0"/>
                                  <w:marBottom w:val="0"/>
                                  <w:divBdr>
                                    <w:top w:val="none" w:sz="0" w:space="0" w:color="auto"/>
                                    <w:left w:val="none" w:sz="0" w:space="0" w:color="auto"/>
                                    <w:bottom w:val="none" w:sz="0" w:space="0" w:color="auto"/>
                                    <w:right w:val="none" w:sz="0" w:space="0" w:color="auto"/>
                                  </w:divBdr>
                                </w:div>
                                <w:div w:id="199248538">
                                  <w:marLeft w:val="0"/>
                                  <w:marRight w:val="0"/>
                                  <w:marTop w:val="0"/>
                                  <w:marBottom w:val="0"/>
                                  <w:divBdr>
                                    <w:top w:val="none" w:sz="0" w:space="0" w:color="auto"/>
                                    <w:left w:val="none" w:sz="0" w:space="0" w:color="auto"/>
                                    <w:bottom w:val="none" w:sz="0" w:space="0" w:color="auto"/>
                                    <w:right w:val="none" w:sz="0" w:space="0" w:color="auto"/>
                                  </w:divBdr>
                                </w:div>
                                <w:div w:id="279532764">
                                  <w:marLeft w:val="0"/>
                                  <w:marRight w:val="0"/>
                                  <w:marTop w:val="0"/>
                                  <w:marBottom w:val="0"/>
                                  <w:divBdr>
                                    <w:top w:val="none" w:sz="0" w:space="0" w:color="auto"/>
                                    <w:left w:val="none" w:sz="0" w:space="0" w:color="auto"/>
                                    <w:bottom w:val="none" w:sz="0" w:space="0" w:color="auto"/>
                                    <w:right w:val="none" w:sz="0" w:space="0" w:color="auto"/>
                                  </w:divBdr>
                                </w:div>
                                <w:div w:id="572013776">
                                  <w:marLeft w:val="0"/>
                                  <w:marRight w:val="0"/>
                                  <w:marTop w:val="0"/>
                                  <w:marBottom w:val="0"/>
                                  <w:divBdr>
                                    <w:top w:val="none" w:sz="0" w:space="0" w:color="auto"/>
                                    <w:left w:val="none" w:sz="0" w:space="0" w:color="auto"/>
                                    <w:bottom w:val="none" w:sz="0" w:space="0" w:color="auto"/>
                                    <w:right w:val="none" w:sz="0" w:space="0" w:color="auto"/>
                                  </w:divBdr>
                                </w:div>
                                <w:div w:id="46925154">
                                  <w:marLeft w:val="0"/>
                                  <w:marRight w:val="0"/>
                                  <w:marTop w:val="0"/>
                                  <w:marBottom w:val="0"/>
                                  <w:divBdr>
                                    <w:top w:val="none" w:sz="0" w:space="0" w:color="auto"/>
                                    <w:left w:val="none" w:sz="0" w:space="0" w:color="auto"/>
                                    <w:bottom w:val="none" w:sz="0" w:space="0" w:color="auto"/>
                                    <w:right w:val="none" w:sz="0" w:space="0" w:color="auto"/>
                                  </w:divBdr>
                                </w:div>
                                <w:div w:id="179589693">
                                  <w:marLeft w:val="0"/>
                                  <w:marRight w:val="0"/>
                                  <w:marTop w:val="0"/>
                                  <w:marBottom w:val="0"/>
                                  <w:divBdr>
                                    <w:top w:val="none" w:sz="0" w:space="0" w:color="auto"/>
                                    <w:left w:val="none" w:sz="0" w:space="0" w:color="auto"/>
                                    <w:bottom w:val="none" w:sz="0" w:space="0" w:color="auto"/>
                                    <w:right w:val="none" w:sz="0" w:space="0" w:color="auto"/>
                                  </w:divBdr>
                                </w:div>
                                <w:div w:id="183983421">
                                  <w:marLeft w:val="0"/>
                                  <w:marRight w:val="0"/>
                                  <w:marTop w:val="0"/>
                                  <w:marBottom w:val="0"/>
                                  <w:divBdr>
                                    <w:top w:val="none" w:sz="0" w:space="0" w:color="auto"/>
                                    <w:left w:val="none" w:sz="0" w:space="0" w:color="auto"/>
                                    <w:bottom w:val="none" w:sz="0" w:space="0" w:color="auto"/>
                                    <w:right w:val="none" w:sz="0" w:space="0" w:color="auto"/>
                                  </w:divBdr>
                                </w:div>
                                <w:div w:id="339701609">
                                  <w:marLeft w:val="0"/>
                                  <w:marRight w:val="0"/>
                                  <w:marTop w:val="0"/>
                                  <w:marBottom w:val="0"/>
                                  <w:divBdr>
                                    <w:top w:val="none" w:sz="0" w:space="0" w:color="auto"/>
                                    <w:left w:val="none" w:sz="0" w:space="0" w:color="auto"/>
                                    <w:bottom w:val="none" w:sz="0" w:space="0" w:color="auto"/>
                                    <w:right w:val="none" w:sz="0" w:space="0" w:color="auto"/>
                                  </w:divBdr>
                                </w:div>
                                <w:div w:id="807825824">
                                  <w:marLeft w:val="0"/>
                                  <w:marRight w:val="0"/>
                                  <w:marTop w:val="0"/>
                                  <w:marBottom w:val="0"/>
                                  <w:divBdr>
                                    <w:top w:val="none" w:sz="0" w:space="0" w:color="auto"/>
                                    <w:left w:val="none" w:sz="0" w:space="0" w:color="auto"/>
                                    <w:bottom w:val="none" w:sz="0" w:space="0" w:color="auto"/>
                                    <w:right w:val="none" w:sz="0" w:space="0" w:color="auto"/>
                                  </w:divBdr>
                                </w:div>
                                <w:div w:id="780683506">
                                  <w:marLeft w:val="0"/>
                                  <w:marRight w:val="0"/>
                                  <w:marTop w:val="0"/>
                                  <w:marBottom w:val="0"/>
                                  <w:divBdr>
                                    <w:top w:val="none" w:sz="0" w:space="0" w:color="auto"/>
                                    <w:left w:val="none" w:sz="0" w:space="0" w:color="auto"/>
                                    <w:bottom w:val="none" w:sz="0" w:space="0" w:color="auto"/>
                                    <w:right w:val="none" w:sz="0" w:space="0" w:color="auto"/>
                                  </w:divBdr>
                                </w:div>
                                <w:div w:id="54745134">
                                  <w:marLeft w:val="0"/>
                                  <w:marRight w:val="0"/>
                                  <w:marTop w:val="0"/>
                                  <w:marBottom w:val="0"/>
                                  <w:divBdr>
                                    <w:top w:val="none" w:sz="0" w:space="0" w:color="auto"/>
                                    <w:left w:val="none" w:sz="0" w:space="0" w:color="auto"/>
                                    <w:bottom w:val="none" w:sz="0" w:space="0" w:color="auto"/>
                                    <w:right w:val="none" w:sz="0" w:space="0" w:color="auto"/>
                                  </w:divBdr>
                                </w:div>
                                <w:div w:id="1836189363">
                                  <w:marLeft w:val="0"/>
                                  <w:marRight w:val="0"/>
                                  <w:marTop w:val="0"/>
                                  <w:marBottom w:val="0"/>
                                  <w:divBdr>
                                    <w:top w:val="none" w:sz="0" w:space="0" w:color="auto"/>
                                    <w:left w:val="none" w:sz="0" w:space="0" w:color="auto"/>
                                    <w:bottom w:val="none" w:sz="0" w:space="0" w:color="auto"/>
                                    <w:right w:val="none" w:sz="0" w:space="0" w:color="auto"/>
                                  </w:divBdr>
                                </w:div>
                                <w:div w:id="2088460497">
                                  <w:marLeft w:val="0"/>
                                  <w:marRight w:val="0"/>
                                  <w:marTop w:val="0"/>
                                  <w:marBottom w:val="0"/>
                                  <w:divBdr>
                                    <w:top w:val="none" w:sz="0" w:space="0" w:color="auto"/>
                                    <w:left w:val="none" w:sz="0" w:space="0" w:color="auto"/>
                                    <w:bottom w:val="none" w:sz="0" w:space="0" w:color="auto"/>
                                    <w:right w:val="none" w:sz="0" w:space="0" w:color="auto"/>
                                  </w:divBdr>
                                </w:div>
                                <w:div w:id="1491554667">
                                  <w:marLeft w:val="0"/>
                                  <w:marRight w:val="0"/>
                                  <w:marTop w:val="0"/>
                                  <w:marBottom w:val="0"/>
                                  <w:divBdr>
                                    <w:top w:val="none" w:sz="0" w:space="0" w:color="auto"/>
                                    <w:left w:val="none" w:sz="0" w:space="0" w:color="auto"/>
                                    <w:bottom w:val="none" w:sz="0" w:space="0" w:color="auto"/>
                                    <w:right w:val="none" w:sz="0" w:space="0" w:color="auto"/>
                                  </w:divBdr>
                                </w:div>
                                <w:div w:id="83890117">
                                  <w:marLeft w:val="0"/>
                                  <w:marRight w:val="0"/>
                                  <w:marTop w:val="0"/>
                                  <w:marBottom w:val="0"/>
                                  <w:divBdr>
                                    <w:top w:val="none" w:sz="0" w:space="0" w:color="auto"/>
                                    <w:left w:val="none" w:sz="0" w:space="0" w:color="auto"/>
                                    <w:bottom w:val="none" w:sz="0" w:space="0" w:color="auto"/>
                                    <w:right w:val="none" w:sz="0" w:space="0" w:color="auto"/>
                                  </w:divBdr>
                                </w:div>
                                <w:div w:id="3211440">
                                  <w:marLeft w:val="0"/>
                                  <w:marRight w:val="0"/>
                                  <w:marTop w:val="0"/>
                                  <w:marBottom w:val="0"/>
                                  <w:divBdr>
                                    <w:top w:val="none" w:sz="0" w:space="0" w:color="auto"/>
                                    <w:left w:val="none" w:sz="0" w:space="0" w:color="auto"/>
                                    <w:bottom w:val="none" w:sz="0" w:space="0" w:color="auto"/>
                                    <w:right w:val="none" w:sz="0" w:space="0" w:color="auto"/>
                                  </w:divBdr>
                                </w:div>
                                <w:div w:id="1976523421">
                                  <w:marLeft w:val="0"/>
                                  <w:marRight w:val="0"/>
                                  <w:marTop w:val="0"/>
                                  <w:marBottom w:val="0"/>
                                  <w:divBdr>
                                    <w:top w:val="none" w:sz="0" w:space="0" w:color="auto"/>
                                    <w:left w:val="none" w:sz="0" w:space="0" w:color="auto"/>
                                    <w:bottom w:val="none" w:sz="0" w:space="0" w:color="auto"/>
                                    <w:right w:val="none" w:sz="0" w:space="0" w:color="auto"/>
                                  </w:divBdr>
                                </w:div>
                                <w:div w:id="1415854014">
                                  <w:marLeft w:val="0"/>
                                  <w:marRight w:val="0"/>
                                  <w:marTop w:val="0"/>
                                  <w:marBottom w:val="0"/>
                                  <w:divBdr>
                                    <w:top w:val="none" w:sz="0" w:space="0" w:color="auto"/>
                                    <w:left w:val="none" w:sz="0" w:space="0" w:color="auto"/>
                                    <w:bottom w:val="none" w:sz="0" w:space="0" w:color="auto"/>
                                    <w:right w:val="none" w:sz="0" w:space="0" w:color="auto"/>
                                  </w:divBdr>
                                </w:div>
                                <w:div w:id="2052265361">
                                  <w:marLeft w:val="0"/>
                                  <w:marRight w:val="0"/>
                                  <w:marTop w:val="0"/>
                                  <w:marBottom w:val="0"/>
                                  <w:divBdr>
                                    <w:top w:val="none" w:sz="0" w:space="0" w:color="auto"/>
                                    <w:left w:val="none" w:sz="0" w:space="0" w:color="auto"/>
                                    <w:bottom w:val="none" w:sz="0" w:space="0" w:color="auto"/>
                                    <w:right w:val="none" w:sz="0" w:space="0" w:color="auto"/>
                                  </w:divBdr>
                                </w:div>
                                <w:div w:id="2033142463">
                                  <w:marLeft w:val="0"/>
                                  <w:marRight w:val="0"/>
                                  <w:marTop w:val="0"/>
                                  <w:marBottom w:val="0"/>
                                  <w:divBdr>
                                    <w:top w:val="none" w:sz="0" w:space="0" w:color="auto"/>
                                    <w:left w:val="none" w:sz="0" w:space="0" w:color="auto"/>
                                    <w:bottom w:val="none" w:sz="0" w:space="0" w:color="auto"/>
                                    <w:right w:val="none" w:sz="0" w:space="0" w:color="auto"/>
                                  </w:divBdr>
                                </w:div>
                                <w:div w:id="360789255">
                                  <w:marLeft w:val="0"/>
                                  <w:marRight w:val="0"/>
                                  <w:marTop w:val="0"/>
                                  <w:marBottom w:val="0"/>
                                  <w:divBdr>
                                    <w:top w:val="none" w:sz="0" w:space="0" w:color="auto"/>
                                    <w:left w:val="none" w:sz="0" w:space="0" w:color="auto"/>
                                    <w:bottom w:val="none" w:sz="0" w:space="0" w:color="auto"/>
                                    <w:right w:val="none" w:sz="0" w:space="0" w:color="auto"/>
                                  </w:divBdr>
                                </w:div>
                                <w:div w:id="1838231412">
                                  <w:marLeft w:val="0"/>
                                  <w:marRight w:val="0"/>
                                  <w:marTop w:val="0"/>
                                  <w:marBottom w:val="0"/>
                                  <w:divBdr>
                                    <w:top w:val="none" w:sz="0" w:space="0" w:color="auto"/>
                                    <w:left w:val="none" w:sz="0" w:space="0" w:color="auto"/>
                                    <w:bottom w:val="none" w:sz="0" w:space="0" w:color="auto"/>
                                    <w:right w:val="none" w:sz="0" w:space="0" w:color="auto"/>
                                  </w:divBdr>
                                </w:div>
                                <w:div w:id="116409970">
                                  <w:marLeft w:val="0"/>
                                  <w:marRight w:val="0"/>
                                  <w:marTop w:val="0"/>
                                  <w:marBottom w:val="0"/>
                                  <w:divBdr>
                                    <w:top w:val="none" w:sz="0" w:space="0" w:color="auto"/>
                                    <w:left w:val="none" w:sz="0" w:space="0" w:color="auto"/>
                                    <w:bottom w:val="none" w:sz="0" w:space="0" w:color="auto"/>
                                    <w:right w:val="none" w:sz="0" w:space="0" w:color="auto"/>
                                  </w:divBdr>
                                </w:div>
                                <w:div w:id="650410112">
                                  <w:marLeft w:val="0"/>
                                  <w:marRight w:val="0"/>
                                  <w:marTop w:val="0"/>
                                  <w:marBottom w:val="0"/>
                                  <w:divBdr>
                                    <w:top w:val="none" w:sz="0" w:space="0" w:color="auto"/>
                                    <w:left w:val="none" w:sz="0" w:space="0" w:color="auto"/>
                                    <w:bottom w:val="none" w:sz="0" w:space="0" w:color="auto"/>
                                    <w:right w:val="none" w:sz="0" w:space="0" w:color="auto"/>
                                  </w:divBdr>
                                </w:div>
                                <w:div w:id="1927571225">
                                  <w:marLeft w:val="0"/>
                                  <w:marRight w:val="0"/>
                                  <w:marTop w:val="0"/>
                                  <w:marBottom w:val="0"/>
                                  <w:divBdr>
                                    <w:top w:val="none" w:sz="0" w:space="0" w:color="auto"/>
                                    <w:left w:val="none" w:sz="0" w:space="0" w:color="auto"/>
                                    <w:bottom w:val="none" w:sz="0" w:space="0" w:color="auto"/>
                                    <w:right w:val="none" w:sz="0" w:space="0" w:color="auto"/>
                                  </w:divBdr>
                                </w:div>
                                <w:div w:id="1118376166">
                                  <w:marLeft w:val="0"/>
                                  <w:marRight w:val="0"/>
                                  <w:marTop w:val="0"/>
                                  <w:marBottom w:val="0"/>
                                  <w:divBdr>
                                    <w:top w:val="none" w:sz="0" w:space="0" w:color="auto"/>
                                    <w:left w:val="none" w:sz="0" w:space="0" w:color="auto"/>
                                    <w:bottom w:val="none" w:sz="0" w:space="0" w:color="auto"/>
                                    <w:right w:val="none" w:sz="0" w:space="0" w:color="auto"/>
                                  </w:divBdr>
                                </w:div>
                                <w:div w:id="1556357981">
                                  <w:marLeft w:val="0"/>
                                  <w:marRight w:val="0"/>
                                  <w:marTop w:val="0"/>
                                  <w:marBottom w:val="0"/>
                                  <w:divBdr>
                                    <w:top w:val="none" w:sz="0" w:space="0" w:color="auto"/>
                                    <w:left w:val="none" w:sz="0" w:space="0" w:color="auto"/>
                                    <w:bottom w:val="none" w:sz="0" w:space="0" w:color="auto"/>
                                    <w:right w:val="none" w:sz="0" w:space="0" w:color="auto"/>
                                  </w:divBdr>
                                </w:div>
                                <w:div w:id="767624059">
                                  <w:marLeft w:val="0"/>
                                  <w:marRight w:val="0"/>
                                  <w:marTop w:val="0"/>
                                  <w:marBottom w:val="0"/>
                                  <w:divBdr>
                                    <w:top w:val="none" w:sz="0" w:space="0" w:color="auto"/>
                                    <w:left w:val="none" w:sz="0" w:space="0" w:color="auto"/>
                                    <w:bottom w:val="none" w:sz="0" w:space="0" w:color="auto"/>
                                    <w:right w:val="none" w:sz="0" w:space="0" w:color="auto"/>
                                  </w:divBdr>
                                </w:div>
                                <w:div w:id="141121162">
                                  <w:marLeft w:val="0"/>
                                  <w:marRight w:val="0"/>
                                  <w:marTop w:val="0"/>
                                  <w:marBottom w:val="0"/>
                                  <w:divBdr>
                                    <w:top w:val="none" w:sz="0" w:space="0" w:color="auto"/>
                                    <w:left w:val="none" w:sz="0" w:space="0" w:color="auto"/>
                                    <w:bottom w:val="none" w:sz="0" w:space="0" w:color="auto"/>
                                    <w:right w:val="none" w:sz="0" w:space="0" w:color="auto"/>
                                  </w:divBdr>
                                </w:div>
                                <w:div w:id="175535906">
                                  <w:marLeft w:val="0"/>
                                  <w:marRight w:val="0"/>
                                  <w:marTop w:val="0"/>
                                  <w:marBottom w:val="0"/>
                                  <w:divBdr>
                                    <w:top w:val="none" w:sz="0" w:space="0" w:color="auto"/>
                                    <w:left w:val="none" w:sz="0" w:space="0" w:color="auto"/>
                                    <w:bottom w:val="none" w:sz="0" w:space="0" w:color="auto"/>
                                    <w:right w:val="none" w:sz="0" w:space="0" w:color="auto"/>
                                  </w:divBdr>
                                </w:div>
                                <w:div w:id="25374353">
                                  <w:marLeft w:val="0"/>
                                  <w:marRight w:val="0"/>
                                  <w:marTop w:val="0"/>
                                  <w:marBottom w:val="0"/>
                                  <w:divBdr>
                                    <w:top w:val="none" w:sz="0" w:space="0" w:color="auto"/>
                                    <w:left w:val="none" w:sz="0" w:space="0" w:color="auto"/>
                                    <w:bottom w:val="none" w:sz="0" w:space="0" w:color="auto"/>
                                    <w:right w:val="none" w:sz="0" w:space="0" w:color="auto"/>
                                  </w:divBdr>
                                </w:div>
                                <w:div w:id="423648824">
                                  <w:marLeft w:val="0"/>
                                  <w:marRight w:val="0"/>
                                  <w:marTop w:val="0"/>
                                  <w:marBottom w:val="0"/>
                                  <w:divBdr>
                                    <w:top w:val="none" w:sz="0" w:space="0" w:color="auto"/>
                                    <w:left w:val="none" w:sz="0" w:space="0" w:color="auto"/>
                                    <w:bottom w:val="none" w:sz="0" w:space="0" w:color="auto"/>
                                    <w:right w:val="none" w:sz="0" w:space="0" w:color="auto"/>
                                  </w:divBdr>
                                </w:div>
                                <w:div w:id="1017271022">
                                  <w:marLeft w:val="0"/>
                                  <w:marRight w:val="0"/>
                                  <w:marTop w:val="0"/>
                                  <w:marBottom w:val="0"/>
                                  <w:divBdr>
                                    <w:top w:val="none" w:sz="0" w:space="0" w:color="auto"/>
                                    <w:left w:val="none" w:sz="0" w:space="0" w:color="auto"/>
                                    <w:bottom w:val="none" w:sz="0" w:space="0" w:color="auto"/>
                                    <w:right w:val="none" w:sz="0" w:space="0" w:color="auto"/>
                                  </w:divBdr>
                                </w:div>
                                <w:div w:id="381363915">
                                  <w:marLeft w:val="0"/>
                                  <w:marRight w:val="0"/>
                                  <w:marTop w:val="0"/>
                                  <w:marBottom w:val="0"/>
                                  <w:divBdr>
                                    <w:top w:val="none" w:sz="0" w:space="0" w:color="auto"/>
                                    <w:left w:val="none" w:sz="0" w:space="0" w:color="auto"/>
                                    <w:bottom w:val="none" w:sz="0" w:space="0" w:color="auto"/>
                                    <w:right w:val="none" w:sz="0" w:space="0" w:color="auto"/>
                                  </w:divBdr>
                                </w:div>
                                <w:div w:id="1018655353">
                                  <w:marLeft w:val="0"/>
                                  <w:marRight w:val="0"/>
                                  <w:marTop w:val="0"/>
                                  <w:marBottom w:val="0"/>
                                  <w:divBdr>
                                    <w:top w:val="none" w:sz="0" w:space="0" w:color="auto"/>
                                    <w:left w:val="none" w:sz="0" w:space="0" w:color="auto"/>
                                    <w:bottom w:val="none" w:sz="0" w:space="0" w:color="auto"/>
                                    <w:right w:val="none" w:sz="0" w:space="0" w:color="auto"/>
                                  </w:divBdr>
                                </w:div>
                                <w:div w:id="964508987">
                                  <w:marLeft w:val="0"/>
                                  <w:marRight w:val="0"/>
                                  <w:marTop w:val="0"/>
                                  <w:marBottom w:val="0"/>
                                  <w:divBdr>
                                    <w:top w:val="none" w:sz="0" w:space="0" w:color="auto"/>
                                    <w:left w:val="none" w:sz="0" w:space="0" w:color="auto"/>
                                    <w:bottom w:val="none" w:sz="0" w:space="0" w:color="auto"/>
                                    <w:right w:val="none" w:sz="0" w:space="0" w:color="auto"/>
                                  </w:divBdr>
                                </w:div>
                                <w:div w:id="4226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xeu.org/index.php?q=forward&amp;path=node/7045" TargetMode="External"/><Relationship Id="rId13" Type="http://schemas.openxmlformats.org/officeDocument/2006/relationships/image" Target="media/image1.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oxeu.org/index.php?q=node/7045" TargetMode="External"/><Relationship Id="rId12" Type="http://schemas.openxmlformats.org/officeDocument/2006/relationships/hyperlink" Target="http://www.voxeu.org/index.php?q=node/7045" TargetMode="External"/><Relationship Id="rId17" Type="http://schemas.openxmlformats.org/officeDocument/2006/relationships/hyperlink" Target="http://www.theatlantic.com/past/docs/unbound/flashbks/budget/keynesf.htm" TargetMode="External"/><Relationship Id="rId2" Type="http://schemas.openxmlformats.org/officeDocument/2006/relationships/styles" Target="styles.xml"/><Relationship Id="rId16" Type="http://schemas.openxmlformats.org/officeDocument/2006/relationships/hyperlink" Target="http://www.nber.org/papers/w17407" TargetMode="External"/><Relationship Id="rId1" Type="http://schemas.openxmlformats.org/officeDocument/2006/relationships/numbering" Target="numbering.xml"/><Relationship Id="rId6" Type="http://schemas.openxmlformats.org/officeDocument/2006/relationships/hyperlink" Target="http://www.voxeu.org/index.php?q=node/4830" TargetMode="External"/><Relationship Id="rId11" Type="http://schemas.openxmlformats.org/officeDocument/2006/relationships/hyperlink" Target="http://www.nber.org/chapters/c12498.pdf" TargetMode="External"/><Relationship Id="rId5" Type="http://schemas.openxmlformats.org/officeDocument/2006/relationships/hyperlink" Target="http://www.voxeu.org/index.php?q=node/1097" TargetMode="External"/><Relationship Id="rId15" Type="http://schemas.openxmlformats.org/officeDocument/2006/relationships/hyperlink" Target="http://www.nber.org/chapters/c12498.pdf" TargetMode="External"/><Relationship Id="rId10" Type="http://schemas.openxmlformats.org/officeDocument/2006/relationships/hyperlink" Target="http://www.voxeu.org/index.php?q=node/8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oxeu.org/index.php?q=node/7045" TargetMode="External"/><Relationship Id="rId14" Type="http://schemas.openxmlformats.org/officeDocument/2006/relationships/hyperlink" Target="http://www.voxeu.org/index.php?q=node/70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1779</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2011-10-18T22:50:00Z</dcterms:created>
  <dcterms:modified xsi:type="dcterms:W3CDTF">2011-11-05T16:02:00Z</dcterms:modified>
</cp:coreProperties>
</file>